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华文中宋" w:hAnsi="华文中宋" w:eastAsia="华文中宋" w:cs="宋体"/>
          <w:b/>
          <w:kern w:val="0"/>
          <w:sz w:val="52"/>
          <w:szCs w:val="52"/>
        </w:rPr>
      </w:pPr>
    </w:p>
    <w:p>
      <w:pPr>
        <w:spacing w:line="56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自治区财政项目支出绩效自评报告</w:t>
      </w:r>
    </w:p>
    <w:p>
      <w:pPr>
        <w:spacing w:line="560" w:lineRule="exact"/>
        <w:jc w:val="center"/>
        <w:rPr>
          <w:rFonts w:ascii="华文中宋" w:hAnsi="华文中宋" w:eastAsia="华文中宋" w:cs="宋体"/>
          <w:b/>
          <w:kern w:val="0"/>
          <w:sz w:val="52"/>
          <w:szCs w:val="52"/>
        </w:rPr>
      </w:pPr>
    </w:p>
    <w:p>
      <w:pPr>
        <w:spacing w:line="56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9"/>
          <w:rFonts w:hint="eastAsia" w:ascii="楷体" w:hAnsi="楷体" w:eastAsia="楷体"/>
          <w:spacing w:val="-4"/>
          <w:sz w:val="32"/>
          <w:szCs w:val="32"/>
        </w:rPr>
        <w:t>202</w:t>
      </w:r>
      <w:r>
        <w:rPr>
          <w:rStyle w:val="9"/>
          <w:rFonts w:hint="eastAsia" w:ascii="楷体" w:hAnsi="楷体" w:eastAsia="楷体"/>
          <w:spacing w:val="-4"/>
          <w:sz w:val="32"/>
          <w:szCs w:val="32"/>
          <w:lang w:val="en-US" w:eastAsia="zh-CN"/>
        </w:rPr>
        <w:t>5</w:t>
      </w:r>
      <w:r>
        <w:rPr>
          <w:rFonts w:hint="eastAsia" w:hAnsi="宋体" w:eastAsia="仿宋_GB2312" w:cs="宋体"/>
          <w:kern w:val="0"/>
          <w:sz w:val="36"/>
          <w:szCs w:val="36"/>
        </w:rPr>
        <w:t>年度）</w:t>
      </w: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jc w:val="center"/>
        <w:rPr>
          <w:rFonts w:ascii="方正小标宋_GBK" w:hAnsi="宋体" w:eastAsia="方正小标宋_GBK" w:cs="宋体"/>
          <w:kern w:val="0"/>
          <w:sz w:val="36"/>
          <w:szCs w:val="36"/>
        </w:rPr>
      </w:pP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jc w:val="center"/>
        <w:rPr>
          <w:rFonts w:hAnsi="宋体" w:eastAsia="仿宋_GB2312" w:cs="宋体"/>
          <w:kern w:val="0"/>
          <w:sz w:val="30"/>
          <w:szCs w:val="30"/>
        </w:rPr>
      </w:pPr>
    </w:p>
    <w:p>
      <w:pPr>
        <w:spacing w:line="560" w:lineRule="exact"/>
        <w:rPr>
          <w:rFonts w:hAnsi="宋体" w:eastAsia="仿宋_GB2312" w:cs="宋体"/>
          <w:kern w:val="0"/>
          <w:sz w:val="30"/>
          <w:szCs w:val="30"/>
        </w:rPr>
      </w:pPr>
    </w:p>
    <w:p>
      <w:pPr>
        <w:spacing w:line="56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pPr>
        <w:spacing w:line="56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Fonts w:hAnsi="宋体" w:eastAsia="仿宋_GB2312" w:cs="宋体"/>
          <w:kern w:val="0"/>
          <w:sz w:val="36"/>
          <w:szCs w:val="36"/>
        </w:rPr>
        <w:t xml:space="preserve"> 公安行政管理</w:t>
      </w:r>
      <w:r>
        <w:rPr>
          <w:rFonts w:hint="eastAsia" w:hAnsi="宋体" w:eastAsia="仿宋_GB2312" w:cs="宋体"/>
          <w:kern w:val="0"/>
          <w:sz w:val="36"/>
          <w:szCs w:val="36"/>
        </w:rPr>
        <w:t>1</w:t>
      </w:r>
    </w:p>
    <w:p>
      <w:pPr>
        <w:spacing w:line="560" w:lineRule="exact"/>
        <w:ind w:firstLine="567"/>
        <w:rPr>
          <w:rFonts w:hAnsi="宋体" w:eastAsia="仿宋_GB2312" w:cs="宋体"/>
          <w:kern w:val="0"/>
          <w:sz w:val="28"/>
          <w:szCs w:val="36"/>
        </w:rPr>
      </w:pPr>
      <w:r>
        <w:rPr>
          <w:rFonts w:hint="eastAsia" w:hAnsi="宋体" w:eastAsia="仿宋_GB2312" w:cs="宋体"/>
          <w:kern w:val="0"/>
          <w:sz w:val="36"/>
          <w:szCs w:val="36"/>
        </w:rPr>
        <w:t xml:space="preserve">  实施单位（公章）：新疆维吾尔自治区公安厅机关服务中心</w:t>
      </w:r>
    </w:p>
    <w:p>
      <w:pPr>
        <w:spacing w:line="560" w:lineRule="exact"/>
        <w:ind w:firstLine="900" w:firstLineChars="250"/>
        <w:rPr>
          <w:rFonts w:hint="eastAsia" w:ascii="楷体" w:hAnsi="楷体" w:eastAsia="楷体"/>
          <w:b/>
          <w:bCs/>
          <w:spacing w:val="-4"/>
          <w:sz w:val="28"/>
          <w:szCs w:val="28"/>
          <w:lang w:val="en-US" w:eastAsia="zh-CN"/>
        </w:rPr>
      </w:pPr>
      <w:r>
        <w:rPr>
          <w:rFonts w:hint="eastAsia" w:hAnsi="宋体" w:eastAsia="仿宋_GB2312" w:cs="宋体"/>
          <w:kern w:val="0"/>
          <w:sz w:val="36"/>
          <w:szCs w:val="36"/>
        </w:rPr>
        <w:t>主管部门（公章）：</w:t>
      </w:r>
      <w:r>
        <w:rPr>
          <w:rFonts w:ascii="楷体" w:hAnsi="楷体" w:eastAsia="楷体"/>
          <w:b/>
          <w:bCs/>
          <w:spacing w:val="-4"/>
          <w:sz w:val="28"/>
          <w:szCs w:val="28"/>
        </w:rPr>
        <w:t xml:space="preserve"> </w:t>
      </w:r>
      <w:r>
        <w:rPr>
          <w:rFonts w:hint="eastAsia" w:hAnsi="宋体" w:eastAsia="仿宋_GB2312" w:cs="宋体"/>
          <w:kern w:val="0"/>
          <w:sz w:val="36"/>
          <w:szCs w:val="36"/>
        </w:rPr>
        <w:t>新疆维吾尔自治区公安厅</w:t>
      </w:r>
    </w:p>
    <w:p>
      <w:pPr>
        <w:spacing w:line="560" w:lineRule="exact"/>
        <w:ind w:firstLine="900" w:firstLineChars="250"/>
        <w:rPr>
          <w:rFonts w:hint="eastAsia" w:ascii="楷体" w:hAnsi="楷体" w:eastAsia="仿宋_GB2312"/>
          <w:b/>
          <w:bCs/>
          <w:spacing w:val="-4"/>
          <w:sz w:val="32"/>
          <w:szCs w:val="32"/>
          <w:lang w:val="en-US" w:eastAsia="zh-CN"/>
        </w:rPr>
      </w:pPr>
      <w:r>
        <w:rPr>
          <w:rFonts w:hint="eastAsia" w:hAnsi="宋体" w:eastAsia="仿宋_GB2312" w:cs="宋体"/>
          <w:kern w:val="0"/>
          <w:sz w:val="36"/>
          <w:szCs w:val="36"/>
        </w:rPr>
        <w:t>项目负责人（签章）：</w:t>
      </w:r>
      <w:r>
        <w:rPr>
          <w:rFonts w:hint="eastAsia" w:hAnsi="宋体" w:eastAsia="仿宋_GB2312" w:cs="宋体"/>
          <w:kern w:val="0"/>
          <w:sz w:val="36"/>
          <w:szCs w:val="36"/>
          <w:lang w:val="en-US" w:eastAsia="zh-CN"/>
        </w:rPr>
        <w:t>戴文新</w:t>
      </w:r>
      <w:bookmarkStart w:id="0" w:name="_GoBack"/>
      <w:bookmarkEnd w:id="0"/>
    </w:p>
    <w:p>
      <w:pPr>
        <w:spacing w:line="560" w:lineRule="exact"/>
        <w:ind w:left="273" w:firstLine="567"/>
        <w:rPr>
          <w:rFonts w:hAnsi="宋体" w:eastAsia="仿宋_GB2312" w:cs="宋体"/>
          <w:b/>
          <w:bCs/>
          <w:kern w:val="0"/>
          <w:sz w:val="36"/>
          <w:szCs w:val="36"/>
        </w:rPr>
      </w:pPr>
      <w:r>
        <w:rPr>
          <w:rFonts w:hint="eastAsia" w:hAnsi="宋体" w:eastAsia="仿宋_GB2312" w:cs="宋体"/>
          <w:kern w:val="0"/>
          <w:sz w:val="36"/>
          <w:szCs w:val="36"/>
        </w:rPr>
        <w:t>填报时间：</w:t>
      </w:r>
      <w:r>
        <w:rPr>
          <w:rFonts w:hint="eastAsia" w:ascii="仿宋_GB2312" w:hAnsi="宋体" w:eastAsia="仿宋_GB2312" w:cs="宋体"/>
          <w:bCs/>
          <w:kern w:val="0"/>
          <w:sz w:val="36"/>
          <w:szCs w:val="36"/>
        </w:rPr>
        <w:t>202</w:t>
      </w:r>
      <w:r>
        <w:rPr>
          <w:rFonts w:hint="eastAsia" w:ascii="仿宋_GB2312" w:hAnsi="宋体" w:eastAsia="仿宋_GB2312" w:cs="宋体"/>
          <w:bCs/>
          <w:kern w:val="0"/>
          <w:sz w:val="36"/>
          <w:szCs w:val="36"/>
          <w:lang w:val="en-US" w:eastAsia="zh-CN"/>
        </w:rPr>
        <w:t>6</w:t>
      </w:r>
      <w:r>
        <w:rPr>
          <w:rFonts w:hint="eastAsia" w:ascii="仿宋_GB2312" w:hAnsi="宋体" w:eastAsia="仿宋_GB2312" w:cs="宋体"/>
          <w:bCs/>
          <w:kern w:val="0"/>
          <w:sz w:val="36"/>
          <w:szCs w:val="36"/>
        </w:rPr>
        <w:t>年3月</w:t>
      </w:r>
      <w:r>
        <w:rPr>
          <w:rFonts w:hint="eastAsia" w:ascii="仿宋_GB2312" w:hAnsi="宋体" w:eastAsia="仿宋_GB2312" w:cs="宋体"/>
          <w:bCs/>
          <w:kern w:val="0"/>
          <w:sz w:val="36"/>
          <w:szCs w:val="36"/>
          <w:lang w:val="en-US" w:eastAsia="zh-CN"/>
        </w:rPr>
        <w:t>20</w:t>
      </w:r>
      <w:r>
        <w:rPr>
          <w:rFonts w:hint="eastAsia" w:ascii="仿宋_GB2312" w:hAnsi="宋体" w:eastAsia="仿宋_GB2312" w:cs="宋体"/>
          <w:bCs/>
          <w:kern w:val="0"/>
          <w:sz w:val="36"/>
          <w:szCs w:val="36"/>
        </w:rPr>
        <w:t>日</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一、基本情况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（一）项目概况。</w:t>
      </w:r>
    </w:p>
    <w:p>
      <w:pPr>
        <w:adjustRightInd w:val="0"/>
        <w:snapToGrid w:val="0"/>
        <w:spacing w:line="520" w:lineRule="exact"/>
        <w:ind w:firstLine="640" w:firstLineChars="200"/>
        <w:rPr>
          <w:rFonts w:ascii="仿宋_GB2312" w:eastAsia="仿宋_GB2312"/>
          <w:sz w:val="32"/>
          <w:szCs w:val="32"/>
        </w:rPr>
      </w:pPr>
      <w:r>
        <w:rPr>
          <w:rFonts w:hint="eastAsia" w:ascii="仿宋_GB2312" w:eastAsia="仿宋_GB2312"/>
          <w:sz w:val="32"/>
          <w:szCs w:val="32"/>
        </w:rPr>
        <w:t>根据《关于设立自治区公安厅机关服务中心的批复》，</w:t>
      </w:r>
      <w:r>
        <w:rPr>
          <w:rFonts w:hint="eastAsia" w:ascii="仿宋_GB2312" w:hAnsi="黑体" w:eastAsia="仿宋_GB2312" w:cs="宋体"/>
          <w:bCs/>
          <w:kern w:val="0"/>
          <w:sz w:val="32"/>
          <w:szCs w:val="32"/>
        </w:rPr>
        <w:t>设立</w:t>
      </w:r>
      <w:r>
        <w:rPr>
          <w:rFonts w:hint="eastAsia" w:ascii="仿宋_GB2312" w:eastAsia="仿宋_GB2312"/>
          <w:sz w:val="32"/>
          <w:szCs w:val="32"/>
        </w:rPr>
        <w:t>公安厅机关服务中心，</w:t>
      </w:r>
      <w:r>
        <w:rPr>
          <w:rFonts w:hint="eastAsia" w:ascii="仿宋_GB2312" w:hAnsi="黑体" w:eastAsia="仿宋_GB2312" w:cs="宋体"/>
          <w:bCs/>
          <w:kern w:val="0"/>
          <w:sz w:val="32"/>
          <w:szCs w:val="32"/>
        </w:rPr>
        <w:t>为自治区公安厅的直属机构，</w:t>
      </w:r>
      <w:r>
        <w:rPr>
          <w:rFonts w:hint="eastAsia" w:ascii="仿宋_GB2312" w:eastAsia="仿宋_GB2312"/>
          <w:sz w:val="32"/>
          <w:szCs w:val="32"/>
        </w:rPr>
        <w:t>全额预算管理事业单位，</w:t>
      </w:r>
      <w:r>
        <w:rPr>
          <w:rFonts w:hint="eastAsia" w:ascii="仿宋_GB2312" w:hAnsi="黑体" w:eastAsia="仿宋_GB2312" w:cs="宋体"/>
          <w:bCs/>
          <w:kern w:val="0"/>
          <w:sz w:val="32"/>
          <w:szCs w:val="32"/>
        </w:rPr>
        <w:t>规格</w:t>
      </w:r>
      <w:r>
        <w:rPr>
          <w:rFonts w:hint="eastAsia" w:ascii="仿宋_GB2312" w:eastAsia="仿宋_GB2312"/>
          <w:sz w:val="32"/>
          <w:szCs w:val="32"/>
        </w:rPr>
        <w:t>正县（处）级。</w:t>
      </w:r>
      <w:r>
        <w:rPr>
          <w:rFonts w:hint="eastAsia" w:ascii="仿宋_GB2312" w:hAnsi="黑体" w:eastAsia="仿宋_GB2312" w:cs="宋体"/>
          <w:bCs/>
          <w:kern w:val="0"/>
          <w:sz w:val="32"/>
          <w:szCs w:val="32"/>
        </w:rPr>
        <w:t>内设</w:t>
      </w:r>
      <w:r>
        <w:rPr>
          <w:rFonts w:hint="eastAsia" w:ascii="仿宋_GB2312" w:eastAsia="仿宋_GB2312"/>
          <w:sz w:val="32"/>
          <w:szCs w:val="32"/>
        </w:rPr>
        <w:t>综合科、财务科、物业房管科、培训保障科四</w:t>
      </w:r>
      <w:r>
        <w:rPr>
          <w:rFonts w:hint="eastAsia" w:ascii="仿宋_GB2312" w:hAnsi="黑体" w:eastAsia="仿宋_GB2312" w:cs="宋体"/>
          <w:bCs/>
          <w:kern w:val="0"/>
          <w:sz w:val="32"/>
          <w:szCs w:val="32"/>
        </w:rPr>
        <w:t>个科室。</w:t>
      </w:r>
      <w:r>
        <w:rPr>
          <w:rFonts w:hint="eastAsia" w:ascii="仿宋_GB2312" w:hAnsi="宋体" w:eastAsia="仿宋_GB2312" w:cs="宋体"/>
          <w:bCs/>
          <w:kern w:val="0"/>
          <w:sz w:val="32"/>
          <w:szCs w:val="32"/>
        </w:rPr>
        <w:t xml:space="preserve"> </w:t>
      </w:r>
    </w:p>
    <w:p>
      <w:pPr>
        <w:adjustRightInd w:val="0"/>
        <w:snapToGrid w:val="0"/>
        <w:spacing w:line="520" w:lineRule="exact"/>
        <w:ind w:firstLine="640" w:firstLineChars="200"/>
        <w:rPr>
          <w:rFonts w:ascii="仿宋_GB2312" w:hAnsi="黑体" w:eastAsia="仿宋_GB2312" w:cs="宋体"/>
          <w:bCs/>
          <w:kern w:val="0"/>
          <w:sz w:val="32"/>
          <w:szCs w:val="32"/>
        </w:rPr>
      </w:pPr>
      <w:r>
        <w:rPr>
          <w:rFonts w:hint="eastAsia" w:ascii="仿宋_GB2312" w:hAnsi="黑体" w:eastAsia="仿宋_GB2312" w:cs="宋体"/>
          <w:bCs/>
          <w:kern w:val="0"/>
          <w:sz w:val="32"/>
          <w:szCs w:val="32"/>
        </w:rPr>
        <w:t>机关服务中心主要职责：</w:t>
      </w:r>
    </w:p>
    <w:p>
      <w:pPr>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（一）负责厅机关物业维修工作。做好厅机关水、暖、电、燃气等设施的日常维修、协调工作；做好办公用房的基本维修工作；做好厅机关爱国卫生、节能减排工作；监督管理物业公司履行职责。</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（二）负责厅机关改（扩）建项目的组织，抓好施工管理及安全生产监督。</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（三）负责厅机关办公、业务用房的管理、调配，厅机关房地产管理、其他房产手续的办理。</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（四）负责厅机关公务接待及培训人员的食宿保障。</w:t>
      </w:r>
    </w:p>
    <w:p>
      <w:pPr>
        <w:spacing w:line="500" w:lineRule="exact"/>
        <w:ind w:firstLine="640" w:firstLineChars="200"/>
        <w:rPr>
          <w:rFonts w:ascii="仿宋_GB2312" w:hAnsi="Calibri" w:eastAsia="仿宋_GB2312"/>
          <w:color w:val="000000"/>
          <w:sz w:val="32"/>
          <w:szCs w:val="32"/>
        </w:rPr>
      </w:pPr>
      <w:r>
        <w:rPr>
          <w:rFonts w:hint="eastAsia" w:ascii="仿宋_GB2312" w:hAnsi="Calibri" w:eastAsia="仿宋_GB2312"/>
          <w:color w:val="000000"/>
          <w:sz w:val="32"/>
          <w:szCs w:val="32"/>
        </w:rPr>
        <w:t>（五）负责公安厅机关服务中心（事业单位）的日常管理工作。编制机关服务中心年度经费预、决算；承担机关服务中心（新疆公安民警培训中心）经费的管理使用工作。</w:t>
      </w:r>
    </w:p>
    <w:p>
      <w:pPr>
        <w:spacing w:line="56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rPr>
        <w:t>公安行政管理1经费</w:t>
      </w:r>
      <w:r>
        <w:rPr>
          <w:rFonts w:hint="eastAsia" w:ascii="仿宋_GB2312" w:hAnsi="Times New Roman" w:eastAsia="仿宋_GB2312" w:cs="Times New Roman"/>
          <w:sz w:val="32"/>
          <w:szCs w:val="32"/>
          <w:lang w:val="en-US" w:eastAsia="zh-CN"/>
        </w:rPr>
        <w:t>为</w:t>
      </w:r>
      <w:r>
        <w:rPr>
          <w:rFonts w:hint="eastAsia" w:ascii="仿宋_GB2312" w:hAnsi="Times New Roman" w:eastAsia="仿宋_GB2312" w:cs="Times New Roman"/>
          <w:sz w:val="32"/>
          <w:szCs w:val="32"/>
        </w:rPr>
        <w:t>厅机关后勤保障运行经费4</w:t>
      </w:r>
      <w:r>
        <w:rPr>
          <w:rFonts w:hint="eastAsia" w:ascii="仿宋_GB2312" w:hAnsi="Times New Roman" w:eastAsia="仿宋_GB2312" w:cs="Times New Roman"/>
          <w:sz w:val="32"/>
          <w:szCs w:val="32"/>
          <w:lang w:val="en-US" w:eastAsia="zh-CN"/>
        </w:rPr>
        <w:t>5</w:t>
      </w:r>
      <w:r>
        <w:rPr>
          <w:rFonts w:hint="eastAsia" w:ascii="仿宋_GB2312" w:hAnsi="Times New Roman" w:eastAsia="仿宋_GB2312" w:cs="Times New Roman"/>
          <w:sz w:val="32"/>
          <w:szCs w:val="32"/>
        </w:rPr>
        <w:t>0</w:t>
      </w:r>
      <w:r>
        <w:rPr>
          <w:rFonts w:ascii="仿宋_GB2312" w:hAnsi="Times New Roman" w:eastAsia="仿宋_GB2312" w:cs="Times New Roman"/>
          <w:sz w:val="32"/>
          <w:szCs w:val="32"/>
        </w:rPr>
        <w:t>万元</w:t>
      </w:r>
      <w:r>
        <w:rPr>
          <w:rFonts w:hint="eastAsia" w:ascii="仿宋_GB2312" w:hAnsi="Times New Roman" w:eastAsia="仿宋_GB2312" w:cs="Times New Roman"/>
          <w:sz w:val="32"/>
          <w:szCs w:val="32"/>
          <w:lang w:eastAsia="zh-CN"/>
        </w:rPr>
        <w:t>。</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（二）项目绩效目标。</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总体目标为按照相关文件规定，保障厅机关日常物料消耗，提供后勤保障服务，提高工作积极性，为反恐维稳提供有力支撑。阶段性目标为按月足额保障厅机关后勤保障运行经费。</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二、绩效评价工作开展情况</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（一）绩效评价目的、对象和范围。</w:t>
      </w:r>
    </w:p>
    <w:p>
      <w:pPr>
        <w:spacing w:line="560" w:lineRule="exact"/>
        <w:ind w:firstLine="640" w:firstLineChars="200"/>
        <w:rPr>
          <w:rFonts w:ascii="仿宋_GB2312" w:hAnsi="Times New Roman" w:eastAsia="仿宋_GB2312" w:cs="Times New Roman"/>
          <w:sz w:val="32"/>
          <w:szCs w:val="32"/>
        </w:rPr>
      </w:pPr>
      <w:r>
        <w:rPr>
          <w:rFonts w:hint="eastAsia" w:ascii="仿宋_GB2312" w:eastAsia="仿宋_GB2312"/>
          <w:sz w:val="32"/>
          <w:szCs w:val="32"/>
        </w:rPr>
        <w:t>本次评价旨在客观反映公安行政管理专项资金项目管理情况、项目完成情况、取得的效益，进而分析在政策制定、预算资金安排、项目管理等方面存在的问题并提出针对性建议。</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（二）绩效评价原则、评价指标体系（附表说明）、评价方法、评价标准等。</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本项目绩效评价的原则为及时、准确、公开、公正，切实落实好新增事业编人员相关政策，评价方法主要运用文献法、对比分析法等方法，具体评价方法如下：</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文献</w:t>
      </w:r>
      <w:r>
        <w:rPr>
          <w:rFonts w:ascii="仿宋_GB2312" w:hAnsi="Times New Roman" w:eastAsia="仿宋_GB2312" w:cs="Times New Roman"/>
          <w:sz w:val="32"/>
          <w:szCs w:val="32"/>
        </w:rPr>
        <w:t>法</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通过</w:t>
      </w:r>
      <w:r>
        <w:rPr>
          <w:rFonts w:hint="eastAsia" w:ascii="仿宋_GB2312" w:hAnsi="Times New Roman" w:eastAsia="仿宋_GB2312" w:cs="Times New Roman"/>
          <w:sz w:val="32"/>
          <w:szCs w:val="32"/>
        </w:rPr>
        <w:t>检索、查阅、梳理国家、自治区有关政府部门制定的政策文件，了解本专项资金政策内容、目标、效果等</w:t>
      </w:r>
      <w:r>
        <w:rPr>
          <w:rFonts w:ascii="仿宋_GB2312" w:hAnsi="Times New Roman" w:eastAsia="仿宋_GB2312" w:cs="Times New Roman"/>
          <w:sz w:val="32"/>
          <w:szCs w:val="32"/>
        </w:rPr>
        <w:t>。</w:t>
      </w:r>
    </w:p>
    <w:p>
      <w:pPr>
        <w:spacing w:line="560" w:lineRule="exact"/>
        <w:ind w:firstLine="585"/>
        <w:rPr>
          <w:rFonts w:ascii="仿宋_GB2312" w:hAnsi="Times New Roman" w:eastAsia="仿宋_GB2312" w:cs="Times New Roman"/>
          <w:sz w:val="32"/>
          <w:szCs w:val="32"/>
        </w:rPr>
      </w:pPr>
      <w:r>
        <w:rPr>
          <w:rFonts w:hint="eastAsia" w:ascii="仿宋_GB2312" w:hAnsi="Times New Roman" w:eastAsia="仿宋_GB2312" w:cs="Times New Roman"/>
          <w:sz w:val="32"/>
          <w:szCs w:val="32"/>
        </w:rPr>
        <w:t>对比分析法：对比分析是绩效评价中分析政策产出和效果常用的方法之一。本次专项资金政策绩效评价过程中，评价组首先将本项目总目标与往年进行对比，分析总目标与往年的差异；同时，将各指标的实际完成值与绩效目标进行对比分析，考察绩效目标的完成情况。</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（三）绩效评价工作过程。</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前期准备。成立评价工作组，开展前期调研，明确项目绩效目标，设计绩效评价指标体系并确定绩效评价方法。</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组织实施。制定绩效评价工作方案，具体包括项目概况、评价思路、方法手段、组织实施、进度安排等。收集项目立项依据、财政资金分配方案、支付管理情况等相关评价资料并进行梳理。</w:t>
      </w:r>
    </w:p>
    <w:p>
      <w:pPr>
        <w:numPr>
          <w:ilvl w:val="0"/>
          <w:numId w:val="1"/>
        </w:num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分析评价。根据收集梳理的资料围绕项目立项、资金落实、业务管理、财务管理、项目产出、项目效益等内容，对照已确定的绩效评价指标进行详细全面的分析评价，逐项打分并形成绩效评价最终结果。</w:t>
      </w:r>
    </w:p>
    <w:p>
      <w:pPr>
        <w:spacing w:line="560" w:lineRule="exact"/>
        <w:ind w:firstLine="640" w:firstLineChars="200"/>
        <w:rPr>
          <w:rFonts w:ascii="仿宋_GB2312" w:hAnsi="Times New Roman" w:eastAsia="仿宋_GB2312" w:cs="Times New Roman"/>
          <w:sz w:val="32"/>
          <w:szCs w:val="32"/>
        </w:rPr>
      </w:pPr>
      <w:r>
        <w:rPr>
          <w:rFonts w:hint="eastAsia" w:ascii="黑体" w:hAnsi="黑体" w:eastAsia="黑体" w:cs="Times New Roman"/>
          <w:sz w:val="32"/>
          <w:szCs w:val="32"/>
        </w:rPr>
        <w:t>三、综合评价情况及评价结论</w:t>
      </w:r>
      <w:r>
        <w:rPr>
          <w:rFonts w:hint="eastAsia" w:ascii="仿宋_GB2312" w:hAnsi="Times New Roman" w:eastAsia="仿宋_GB2312" w:cs="Times New Roman"/>
          <w:sz w:val="32"/>
          <w:szCs w:val="32"/>
        </w:rPr>
        <w:t>（附相关评分表）</w:t>
      </w:r>
    </w:p>
    <w:p>
      <w:pPr>
        <w:spacing w:line="560" w:lineRule="exact"/>
        <w:ind w:firstLine="640" w:firstLineChars="200"/>
        <w:rPr>
          <w:rFonts w:ascii="仿宋_GB2312" w:eastAsia="仿宋_GB2312" w:cs="Times New Roman"/>
          <w:sz w:val="32"/>
          <w:szCs w:val="32"/>
        </w:rPr>
      </w:pPr>
      <w:r>
        <w:rPr>
          <w:rFonts w:hint="eastAsia" w:ascii="仿宋_GB2312" w:eastAsia="仿宋_GB2312" w:cs="Times New Roman"/>
          <w:sz w:val="32"/>
          <w:szCs w:val="32"/>
        </w:rPr>
        <w:t>根据评价指标体系及评分标准，通过基础数据填报、访谈获取的数据，评价组对公安行政管理专项项目行了独立客观的评价，最终评分结果为100分。</w:t>
      </w:r>
    </w:p>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3-1项目指标得分情况汇总表</w:t>
      </w:r>
    </w:p>
    <w:tbl>
      <w:tblPr>
        <w:tblStyle w:val="7"/>
        <w:tblW w:w="7583" w:type="dxa"/>
        <w:jc w:val="center"/>
        <w:tblLayout w:type="fixed"/>
        <w:tblCellMar>
          <w:top w:w="0" w:type="dxa"/>
          <w:left w:w="108" w:type="dxa"/>
          <w:bottom w:w="0" w:type="dxa"/>
          <w:right w:w="108" w:type="dxa"/>
        </w:tblCellMar>
      </w:tblPr>
      <w:tblGrid>
        <w:gridCol w:w="3137"/>
        <w:gridCol w:w="2168"/>
        <w:gridCol w:w="2278"/>
      </w:tblGrid>
      <w:tr>
        <w:tblPrEx>
          <w:tblCellMar>
            <w:top w:w="0" w:type="dxa"/>
            <w:left w:w="108" w:type="dxa"/>
            <w:bottom w:w="0" w:type="dxa"/>
            <w:right w:w="108" w:type="dxa"/>
          </w:tblCellMar>
        </w:tblPrEx>
        <w:trPr>
          <w:trHeight w:val="90" w:hRule="atLeast"/>
          <w:tblHeader/>
          <w:jc w:val="center"/>
        </w:trPr>
        <w:tc>
          <w:tcPr>
            <w:tcW w:w="3137" w:type="dxa"/>
            <w:tcBorders>
              <w:top w:val="single" w:color="auto" w:sz="4" w:space="0"/>
              <w:left w:val="single" w:color="auto" w:sz="4" w:space="0"/>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一级指标</w:t>
            </w:r>
          </w:p>
        </w:tc>
        <w:tc>
          <w:tcPr>
            <w:tcW w:w="216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权重分</w:t>
            </w:r>
          </w:p>
        </w:tc>
        <w:tc>
          <w:tcPr>
            <w:tcW w:w="2278" w:type="dxa"/>
            <w:tcBorders>
              <w:top w:val="single" w:color="auto" w:sz="4" w:space="0"/>
              <w:left w:val="nil"/>
              <w:bottom w:val="single" w:color="auto" w:sz="4" w:space="0"/>
              <w:right w:val="single" w:color="auto" w:sz="4" w:space="0"/>
            </w:tcBorders>
            <w:shd w:val="clear" w:color="000000" w:fill="BEBEBE" w:themeFill="background1" w:themeFillShade="BF"/>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得分</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项目决策</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20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w:t>
            </w:r>
            <w:r>
              <w:rPr>
                <w:rFonts w:hint="eastAsia" w:eastAsia="仿宋_GB2312"/>
                <w:color w:val="000000"/>
                <w:sz w:val="32"/>
                <w:szCs w:val="32"/>
              </w:rPr>
              <w:t>过程</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20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项目</w:t>
            </w:r>
            <w:r>
              <w:rPr>
                <w:rFonts w:hint="eastAsia" w:eastAsia="仿宋_GB2312"/>
                <w:color w:val="000000"/>
                <w:sz w:val="32"/>
                <w:szCs w:val="32"/>
              </w:rPr>
              <w:t>产出</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30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项目效益</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eastAsia="仿宋_GB2312"/>
                <w:color w:val="000000"/>
                <w:sz w:val="32"/>
                <w:szCs w:val="32"/>
              </w:rPr>
              <w:t>30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30</w:t>
            </w:r>
          </w:p>
        </w:tc>
      </w:tr>
      <w:tr>
        <w:tblPrEx>
          <w:tblCellMar>
            <w:top w:w="0" w:type="dxa"/>
            <w:left w:w="108" w:type="dxa"/>
            <w:bottom w:w="0" w:type="dxa"/>
            <w:right w:w="108" w:type="dxa"/>
          </w:tblCellMar>
        </w:tblPrEx>
        <w:trPr>
          <w:trHeight w:val="340" w:hRule="atLeast"/>
          <w:jc w:val="center"/>
        </w:trPr>
        <w:tc>
          <w:tcPr>
            <w:tcW w:w="3137" w:type="dxa"/>
            <w:tcBorders>
              <w:top w:val="nil"/>
              <w:left w:val="single" w:color="auto" w:sz="4" w:space="0"/>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cs="宋体"/>
                <w:b/>
                <w:bCs/>
                <w:color w:val="000000"/>
                <w:sz w:val="32"/>
                <w:szCs w:val="32"/>
              </w:rPr>
            </w:pPr>
            <w:r>
              <w:rPr>
                <w:rFonts w:hint="eastAsia" w:ascii="Times New Roman" w:hAnsi="Times New Roman" w:eastAsia="仿宋_GB2312" w:cs="宋体"/>
                <w:b/>
                <w:bCs/>
                <w:color w:val="000000"/>
                <w:sz w:val="32"/>
                <w:szCs w:val="32"/>
              </w:rPr>
              <w:t>合计</w:t>
            </w:r>
          </w:p>
        </w:tc>
        <w:tc>
          <w:tcPr>
            <w:tcW w:w="216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b/>
                <w:bCs/>
                <w:color w:val="000000"/>
                <w:sz w:val="32"/>
                <w:szCs w:val="32"/>
              </w:rPr>
            </w:pPr>
            <w:r>
              <w:rPr>
                <w:rFonts w:ascii="Times New Roman" w:hAnsi="Times New Roman" w:eastAsia="仿宋_GB2312"/>
                <w:b/>
                <w:bCs/>
                <w:color w:val="000000"/>
                <w:sz w:val="32"/>
                <w:szCs w:val="32"/>
              </w:rPr>
              <w:t>100</w:t>
            </w:r>
          </w:p>
        </w:tc>
        <w:tc>
          <w:tcPr>
            <w:tcW w:w="2278" w:type="dxa"/>
            <w:tcBorders>
              <w:top w:val="nil"/>
              <w:left w:val="nil"/>
              <w:bottom w:val="single" w:color="auto" w:sz="4" w:space="0"/>
              <w:right w:val="single" w:color="auto" w:sz="4" w:space="0"/>
            </w:tcBorders>
            <w:shd w:val="clear" w:color="auto" w:fill="auto"/>
            <w:vAlign w:val="center"/>
          </w:tcPr>
          <w:p>
            <w:pPr>
              <w:spacing w:line="560" w:lineRule="exact"/>
              <w:jc w:val="center"/>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100</w:t>
            </w:r>
          </w:p>
        </w:tc>
      </w:tr>
    </w:tbl>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spacing w:line="560" w:lineRule="exact"/>
        <w:rPr>
          <w:rFonts w:ascii="Times New Roman" w:hAnsi="Times New Roman" w:eastAsia="仿宋_GB2312"/>
          <w:b/>
          <w:bCs/>
          <w:color w:val="000000"/>
          <w:sz w:val="32"/>
          <w:szCs w:val="32"/>
        </w:rPr>
      </w:pPr>
    </w:p>
    <w:p>
      <w:pPr>
        <w:pStyle w:val="2"/>
        <w:spacing w:before="0" w:after="0" w:line="560" w:lineRule="exact"/>
        <w:jc w:val="center"/>
        <w:rPr>
          <w:rFonts w:ascii="宋体" w:hAnsi="宋体" w:eastAsia="宋体" w:cs="宋体"/>
          <w:bCs/>
          <w:color w:val="000000"/>
          <w:szCs w:val="32"/>
        </w:rPr>
      </w:pPr>
      <w:r>
        <w:rPr>
          <w:rFonts w:hint="eastAsia" w:ascii="Times New Roman" w:hAnsi="Times New Roman" w:eastAsia="仿宋_GB2312" w:cstheme="minorBidi"/>
          <w:bCs/>
          <w:color w:val="000000"/>
          <w:szCs w:val="32"/>
        </w:rPr>
        <w:t>3-2项目支出绩效评分表</w:t>
      </w:r>
    </w:p>
    <w:tbl>
      <w:tblPr>
        <w:tblStyle w:val="7"/>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945"/>
        <w:gridCol w:w="1945"/>
        <w:gridCol w:w="2333"/>
        <w:gridCol w:w="1150"/>
        <w:gridCol w:w="114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blHeader/>
          <w:jc w:val="center"/>
        </w:trPr>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一级指标</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二级指标</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三级指标</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分值</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b/>
                <w:bCs/>
                <w:color w:val="000000"/>
                <w:kern w:val="0"/>
                <w:sz w:val="24"/>
                <w:szCs w:val="32"/>
              </w:rPr>
            </w:pPr>
            <w:r>
              <w:rPr>
                <w:rFonts w:hint="eastAsia" w:ascii="宋体" w:hAnsi="宋体" w:eastAsia="宋体" w:cs="宋体"/>
                <w:b/>
                <w:bCs/>
                <w:color w:val="000000"/>
                <w:kern w:val="0"/>
                <w:sz w:val="24"/>
                <w:szCs w:val="3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决策</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项目立项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立项依据充分性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立项程序规范性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绩效目标</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绩效目标合理性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绩效指标明确性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资金投入</w:t>
            </w:r>
          </w:p>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预算编制科学性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资金分配合理性</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过程</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资金管理</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资金到位率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2</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预算执行率</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　</w:t>
            </w:r>
          </w:p>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过程　</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资金管理</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资金使用合规性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组织实施</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管理制度健全性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制度执行有效性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w:t>
            </w: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产出数量</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实际完成率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产出质量</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质量达标率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产出时效</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完成及时性</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spacing w:line="560" w:lineRule="exact"/>
              <w:jc w:val="center"/>
              <w:rPr>
                <w:rFonts w:ascii="宋体" w:hAnsi="宋体" w:eastAsia="宋体" w:cs="宋体"/>
                <w:color w:val="000000"/>
                <w:kern w:val="0"/>
                <w:sz w:val="24"/>
                <w:szCs w:val="32"/>
              </w:rPr>
            </w:pPr>
          </w:p>
        </w:tc>
        <w:tc>
          <w:tcPr>
            <w:tcW w:w="1141"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产出成本</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成本节约率</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效益　</w:t>
            </w:r>
          </w:p>
        </w:tc>
        <w:tc>
          <w:tcPr>
            <w:tcW w:w="1141" w:type="pct"/>
            <w:vMerge w:val="restar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项目效益　</w:t>
            </w: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实施效益</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141" w:type="pct"/>
            <w:vMerge w:val="continue"/>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p>
        </w:tc>
        <w:tc>
          <w:tcPr>
            <w:tcW w:w="1369"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满意度</w:t>
            </w:r>
          </w:p>
        </w:tc>
        <w:tc>
          <w:tcPr>
            <w:tcW w:w="675"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c>
          <w:tcPr>
            <w:tcW w:w="674" w:type="pct"/>
            <w:tcBorders>
              <w:tl2br w:val="nil"/>
              <w:tr2bl w:val="nil"/>
            </w:tcBorders>
            <w:shd w:val="clear" w:color="000000"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jc w:val="center"/>
        </w:trPr>
        <w:tc>
          <w:tcPr>
            <w:tcW w:w="3651" w:type="pct"/>
            <w:gridSpan w:val="3"/>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b/>
                <w:bCs/>
                <w:color w:val="000000"/>
                <w:kern w:val="0"/>
                <w:sz w:val="24"/>
                <w:szCs w:val="32"/>
              </w:rPr>
              <w:t>总分</w:t>
            </w:r>
          </w:p>
        </w:tc>
        <w:tc>
          <w:tcPr>
            <w:tcW w:w="675"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100</w:t>
            </w:r>
          </w:p>
        </w:tc>
        <w:tc>
          <w:tcPr>
            <w:tcW w:w="674" w:type="pct"/>
            <w:tcBorders>
              <w:tl2br w:val="nil"/>
              <w:tr2bl w:val="nil"/>
            </w:tcBorders>
            <w:shd w:val="clear" w:color="auto" w:fill="FFFFFF"/>
            <w:vAlign w:val="center"/>
          </w:tcPr>
          <w:p>
            <w:pPr>
              <w:widowControl/>
              <w:spacing w:line="560" w:lineRule="exact"/>
              <w:jc w:val="center"/>
              <w:rPr>
                <w:rFonts w:ascii="宋体" w:hAnsi="宋体" w:eastAsia="宋体" w:cs="宋体"/>
                <w:color w:val="000000"/>
                <w:kern w:val="0"/>
                <w:sz w:val="24"/>
                <w:szCs w:val="32"/>
              </w:rPr>
            </w:pPr>
            <w:r>
              <w:rPr>
                <w:rFonts w:hint="eastAsia" w:ascii="宋体" w:hAnsi="宋体" w:eastAsia="宋体" w:cs="宋体"/>
                <w:color w:val="000000"/>
                <w:kern w:val="0"/>
                <w:sz w:val="24"/>
                <w:szCs w:val="32"/>
              </w:rPr>
              <w:t>100</w:t>
            </w:r>
          </w:p>
        </w:tc>
      </w:tr>
    </w:tbl>
    <w:p>
      <w:pPr>
        <w:spacing w:line="560" w:lineRule="exact"/>
        <w:ind w:firstLine="640" w:firstLineChars="200"/>
        <w:rPr>
          <w:rFonts w:ascii="仿宋_GB2312" w:hAnsi="Times New Roman" w:eastAsia="仿宋_GB2312" w:cs="Times New Roman"/>
          <w:sz w:val="32"/>
          <w:szCs w:val="32"/>
        </w:rPr>
      </w:pP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四、绩效评价指标分析</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（一）项目决策情况。</w:t>
      </w:r>
    </w:p>
    <w:p>
      <w:pPr>
        <w:spacing w:line="560" w:lineRule="exact"/>
        <w:ind w:firstLine="640" w:firstLineChars="200"/>
        <w:outlineLvl w:val="0"/>
        <w:rPr>
          <w:rFonts w:ascii="仿宋_GB2312" w:hAnsi="Times New Roman" w:eastAsia="仿宋_GB2312"/>
          <w:sz w:val="32"/>
          <w:szCs w:val="32"/>
        </w:rPr>
      </w:pPr>
      <w:r>
        <w:rPr>
          <w:rFonts w:hint="eastAsia" w:ascii="仿宋_GB2312" w:hAnsi="Times New Roman" w:eastAsia="仿宋_GB2312" w:cs="Times New Roman"/>
          <w:sz w:val="32"/>
          <w:szCs w:val="32"/>
        </w:rPr>
        <w:t>公安行政管理1专项项目立项符合法律法规、相关政策及部门职责，能反映和考核项目立项依据情况，项目申请、设立过程符合相关要求，能反映和考核项目立项的规范情况，所设定的绩效目标依据充分，符合客观实际，能反映和考核项目绩效目标与项目实施的相符情况，依据绩效目标设定的绩效指标清晰、细化、可衡量，能反映和考核项目绩效目标的明细化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（二）项目过程情况。</w:t>
      </w:r>
    </w:p>
    <w:p>
      <w:pPr>
        <w:spacing w:line="560" w:lineRule="exact"/>
        <w:ind w:firstLine="640" w:firstLineChars="200"/>
        <w:outlineLvl w:val="0"/>
        <w:rPr>
          <w:rFonts w:ascii="仿宋_GB2312" w:hAnsi="Times New Roman" w:eastAsia="仿宋_GB2312"/>
          <w:sz w:val="32"/>
          <w:szCs w:val="32"/>
        </w:rPr>
      </w:pPr>
      <w:r>
        <w:rPr>
          <w:rFonts w:hint="eastAsia" w:ascii="仿宋_GB2312" w:hAnsi="Times New Roman" w:eastAsia="仿宋_GB2312" w:cs="Times New Roman"/>
          <w:sz w:val="32"/>
          <w:szCs w:val="32"/>
        </w:rPr>
        <w:t>本项目资金的到位率100%，执行率100%，严格按照预期绩效目标执行预算资金。项目资金使用符合相关的财务管理制度规定，能够反映和考核项目资金的规范运行情况；项目实施单位的财务和业务管理制度健全，能够反映和考核财务和业务管理制度对项目顺利实施的保障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（三）项目产出情况。</w:t>
      </w:r>
    </w:p>
    <w:p>
      <w:pPr>
        <w:spacing w:line="560" w:lineRule="exact"/>
        <w:ind w:firstLine="640" w:firstLineChars="200"/>
        <w:outlineLvl w:val="0"/>
        <w:rPr>
          <w:rFonts w:ascii="Times New Roman" w:hAnsi="Times New Roman" w:eastAsia="仿宋_GB2312"/>
          <w:bCs/>
          <w:sz w:val="32"/>
          <w:szCs w:val="32"/>
        </w:rPr>
      </w:pPr>
      <w:r>
        <w:rPr>
          <w:rFonts w:hint="eastAsia" w:ascii="Times New Roman" w:hAnsi="Times New Roman" w:eastAsia="仿宋_GB2312"/>
          <w:bCs/>
          <w:sz w:val="32"/>
          <w:szCs w:val="32"/>
        </w:rPr>
        <w:t>项目资金全部用于我厅后勤运行物料消耗</w:t>
      </w:r>
      <w:r>
        <w:rPr>
          <w:rFonts w:hint="eastAsia" w:ascii="Times New Roman" w:hAnsi="Times New Roman" w:eastAsia="仿宋_GB2312"/>
          <w:bCs/>
          <w:sz w:val="32"/>
          <w:szCs w:val="32"/>
          <w:lang w:eastAsia="zh-CN"/>
        </w:rPr>
        <w:t>，</w:t>
      </w:r>
      <w:r>
        <w:rPr>
          <w:rFonts w:ascii="Times New Roman" w:hAnsi="Times New Roman" w:eastAsia="仿宋_GB2312"/>
          <w:bCs/>
          <w:sz w:val="32"/>
          <w:szCs w:val="32"/>
        </w:rPr>
        <w:t>按月足额保障，达到全厅民警职工满意率100%。</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（四）项目效益情况。</w:t>
      </w:r>
    </w:p>
    <w:p>
      <w:pPr>
        <w:spacing w:line="560" w:lineRule="exact"/>
        <w:ind w:firstLine="640" w:firstLineChars="200"/>
        <w:outlineLvl w:val="0"/>
        <w:rPr>
          <w:rFonts w:ascii="仿宋_GB2312" w:hAnsi="Times New Roman" w:eastAsia="仿宋_GB2312" w:cs="Times New Roman"/>
          <w:sz w:val="32"/>
          <w:szCs w:val="32"/>
        </w:rPr>
      </w:pPr>
      <w:r>
        <w:rPr>
          <w:rFonts w:hint="eastAsia" w:ascii="仿宋_GB2312" w:hAnsi="Times New Roman" w:eastAsia="仿宋_GB2312" w:cs="Times New Roman"/>
          <w:sz w:val="32"/>
          <w:szCs w:val="32"/>
        </w:rPr>
        <w:t>该项目受益民警职工评价较好，队伍思想状态稳定，确保了厅机关各项后勤任务的圆满完成，对维护新疆大局社会稳定和长治久安奠定了坚实的基础。</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五、主要经验及做法、存在的问题及原因分析</w:t>
      </w:r>
    </w:p>
    <w:p>
      <w:pPr>
        <w:spacing w:line="560" w:lineRule="exact"/>
        <w:ind w:firstLine="640" w:firstLineChars="200"/>
        <w:rPr>
          <w:rFonts w:ascii="仿宋_GB2312" w:hAnsi="Times New Roman" w:eastAsia="仿宋_GB2312"/>
          <w:sz w:val="32"/>
          <w:szCs w:val="32"/>
        </w:rPr>
      </w:pPr>
      <w:r>
        <w:rPr>
          <w:rFonts w:hint="eastAsia" w:ascii="仿宋_GB2312" w:hAnsi="Times New Roman" w:eastAsia="仿宋_GB2312" w:cs="Times New Roman"/>
          <w:sz w:val="32"/>
          <w:szCs w:val="32"/>
        </w:rPr>
        <w:t>主要经验及做法：进一步加强对绩效管理工作的组织领导，提高对预算绩效管理工作重要性的认识，总结经验查找问题，抓紧研究制定更全面更完善的绩效评价管理办法。加大全局对全面实施预算绩效管理和绩效管理工作的学习力度，让“花钱必问效，无效必问责”的理念深入工作每个环节。进一步建立健全工作机制，完善内控制度，形成科学合理、高效严谨的全面绩效管理制度和体系。</w:t>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六、有关建议</w:t>
      </w:r>
    </w:p>
    <w:p>
      <w:pPr>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无。</w:t>
      </w:r>
    </w:p>
    <w:p>
      <w:pPr>
        <w:spacing w:line="560" w:lineRule="exact"/>
        <w:ind w:firstLine="640" w:firstLineChars="200"/>
        <w:rPr>
          <w:rFonts w:ascii="仿宋_GB2312" w:hAnsi="Times New Roman" w:eastAsia="仿宋_GB2312" w:cs="Times New Roman"/>
          <w:bCs/>
          <w:sz w:val="32"/>
          <w:szCs w:val="32"/>
        </w:rPr>
      </w:pPr>
      <w:r>
        <w:rPr>
          <w:rFonts w:hint="eastAsia" w:ascii="黑体" w:hAnsi="黑体" w:eastAsia="黑体" w:cs="Times New Roman"/>
          <w:sz w:val="32"/>
          <w:szCs w:val="32"/>
        </w:rPr>
        <w:t>七、其他需要说明的问题</w:t>
      </w:r>
    </w:p>
    <w:p>
      <w:pPr>
        <w:spacing w:line="560" w:lineRule="exact"/>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无。</w:t>
      </w:r>
    </w:p>
    <w:p>
      <w:pPr>
        <w:spacing w:line="560" w:lineRule="exact"/>
        <w:rPr>
          <w:sz w:val="32"/>
          <w:szCs w:val="32"/>
        </w:rPr>
      </w:pPr>
    </w:p>
    <w:p>
      <w:pPr>
        <w:spacing w:line="560" w:lineRule="exact"/>
        <w:rPr>
          <w:sz w:val="32"/>
          <w:szCs w:val="32"/>
        </w:rPr>
      </w:pPr>
    </w:p>
    <w:p>
      <w:pPr>
        <w:widowControl/>
        <w:spacing w:line="560" w:lineRule="exact"/>
        <w:jc w:val="left"/>
      </w:pPr>
      <w:r>
        <w:br w:type="page"/>
      </w:r>
    </w:p>
    <w:p>
      <w:pPr>
        <w:tabs>
          <w:tab w:val="left" w:pos="1608"/>
        </w:tabs>
        <w:spacing w:line="560" w:lineRule="exact"/>
        <w:jc w:val="left"/>
      </w:pPr>
      <w:r>
        <w:rPr>
          <w:rFonts w:hint="eastAsia"/>
        </w:rPr>
        <w:t>附件1</w:t>
      </w:r>
    </w:p>
    <w:tbl>
      <w:tblPr>
        <w:tblStyle w:val="7"/>
        <w:tblW w:w="5000" w:type="pct"/>
        <w:tblInd w:w="0" w:type="dxa"/>
        <w:tblLayout w:type="fixed"/>
        <w:tblCellMar>
          <w:top w:w="0" w:type="dxa"/>
          <w:left w:w="108" w:type="dxa"/>
          <w:bottom w:w="0" w:type="dxa"/>
          <w:right w:w="108" w:type="dxa"/>
        </w:tblCellMar>
      </w:tblPr>
      <w:tblGrid>
        <w:gridCol w:w="961"/>
        <w:gridCol w:w="850"/>
        <w:gridCol w:w="626"/>
        <w:gridCol w:w="225"/>
        <w:gridCol w:w="424"/>
        <w:gridCol w:w="1750"/>
        <w:gridCol w:w="236"/>
        <w:gridCol w:w="145"/>
        <w:gridCol w:w="654"/>
        <w:gridCol w:w="358"/>
        <w:gridCol w:w="547"/>
        <w:gridCol w:w="136"/>
        <w:gridCol w:w="286"/>
        <w:gridCol w:w="1324"/>
      </w:tblGrid>
      <w:tr>
        <w:tblPrEx>
          <w:tblCellMar>
            <w:top w:w="0" w:type="dxa"/>
            <w:left w:w="108" w:type="dxa"/>
            <w:bottom w:w="0" w:type="dxa"/>
            <w:right w:w="108" w:type="dxa"/>
          </w:tblCellMar>
        </w:tblPrEx>
        <w:trPr>
          <w:trHeight w:val="284" w:hRule="atLeast"/>
        </w:trPr>
        <w:tc>
          <w:tcPr>
            <w:tcW w:w="5000" w:type="pct"/>
            <w:gridSpan w:val="14"/>
            <w:tcBorders>
              <w:top w:val="nil"/>
              <w:left w:val="nil"/>
              <w:bottom w:val="nil"/>
              <w:right w:val="nil"/>
            </w:tcBorders>
            <w:shd w:val="clear" w:color="auto" w:fill="auto"/>
            <w:vAlign w:val="center"/>
          </w:tcPr>
          <w:p>
            <w:pPr>
              <w:widowControl/>
              <w:jc w:val="center"/>
              <w:rPr>
                <w:rFonts w:ascii="方正小标宋_GBK" w:hAnsi="宋体" w:eastAsia="方正小标宋_GBK" w:cs="宋体"/>
                <w:kern w:val="0"/>
                <w:sz w:val="40"/>
                <w:szCs w:val="40"/>
              </w:rPr>
            </w:pPr>
            <w:r>
              <w:rPr>
                <w:rFonts w:hint="eastAsia" w:ascii="方正小标宋_GBK" w:hAnsi="宋体" w:eastAsia="方正小标宋_GBK" w:cs="宋体"/>
                <w:kern w:val="0"/>
                <w:sz w:val="40"/>
                <w:szCs w:val="40"/>
              </w:rPr>
              <w:t>项目支出绩效目标自评表</w:t>
            </w:r>
          </w:p>
        </w:tc>
      </w:tr>
      <w:tr>
        <w:tblPrEx>
          <w:tblCellMar>
            <w:top w:w="0" w:type="dxa"/>
            <w:left w:w="108" w:type="dxa"/>
            <w:bottom w:w="0" w:type="dxa"/>
            <w:right w:w="108" w:type="dxa"/>
          </w:tblCellMar>
        </w:tblPrEx>
        <w:trPr>
          <w:trHeight w:val="284" w:hRule="atLeast"/>
        </w:trPr>
        <w:tc>
          <w:tcPr>
            <w:tcW w:w="5000" w:type="pct"/>
            <w:gridSpan w:val="14"/>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年度）</w:t>
            </w:r>
          </w:p>
        </w:tc>
      </w:tr>
      <w:tr>
        <w:tblPrEx>
          <w:tblCellMar>
            <w:top w:w="0" w:type="dxa"/>
            <w:left w:w="108" w:type="dxa"/>
            <w:bottom w:w="0" w:type="dxa"/>
            <w:right w:w="108" w:type="dxa"/>
          </w:tblCellMar>
        </w:tblPrEx>
        <w:trPr>
          <w:trHeight w:val="284" w:hRule="atLeast"/>
        </w:trPr>
        <w:tc>
          <w:tcPr>
            <w:tcW w:w="1429" w:type="pct"/>
            <w:gridSpan w:val="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1407" w:type="pct"/>
            <w:gridSpan w:val="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138"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468" w:type="pct"/>
            <w:gridSpan w:val="2"/>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210"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568" w:type="pct"/>
            <w:gridSpan w:val="3"/>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c>
          <w:tcPr>
            <w:tcW w:w="776" w:type="pct"/>
            <w:tcBorders>
              <w:top w:val="nil"/>
              <w:left w:val="nil"/>
              <w:bottom w:val="nil"/>
              <w:right w:val="nil"/>
            </w:tcBorders>
            <w:shd w:val="clear" w:color="auto" w:fill="auto"/>
            <w:vAlign w:val="center"/>
          </w:tcPr>
          <w:p>
            <w:pPr>
              <w:widowControl/>
              <w:jc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284" w:hRule="atLeast"/>
        </w:trPr>
        <w:tc>
          <w:tcPr>
            <w:tcW w:w="2837" w:type="pct"/>
            <w:gridSpan w:val="6"/>
            <w:tcBorders>
              <w:top w:val="nil"/>
              <w:left w:val="nil"/>
              <w:bottom w:val="single" w:color="auto" w:sz="4" w:space="0"/>
              <w:right w:val="nil"/>
            </w:tcBorders>
            <w:shd w:val="clear" w:color="auto" w:fill="auto"/>
            <w:noWrap/>
            <w:vAlign w:val="center"/>
          </w:tcPr>
          <w:p>
            <w:pPr>
              <w:widowControl/>
              <w:jc w:val="left"/>
              <w:rPr>
                <w:rFonts w:ascii="仿宋_GB2312" w:hAnsi="宋体" w:eastAsia="仿宋_GB2312" w:cs="宋体"/>
                <w:kern w:val="0"/>
                <w:sz w:val="22"/>
              </w:rPr>
            </w:pPr>
            <w:r>
              <w:rPr>
                <w:rFonts w:hint="eastAsia" w:ascii="仿宋_GB2312" w:hAnsi="宋体" w:eastAsia="仿宋_GB2312" w:cs="宋体"/>
                <w:kern w:val="0"/>
                <w:sz w:val="22"/>
              </w:rPr>
              <w:t>注：项目支出包括部门预算支出和专项预算支出</w:t>
            </w:r>
          </w:p>
        </w:tc>
        <w:tc>
          <w:tcPr>
            <w:tcW w:w="138" w:type="pct"/>
            <w:tcBorders>
              <w:top w:val="nil"/>
              <w:left w:val="nil"/>
              <w:bottom w:val="nil"/>
              <w:right w:val="nil"/>
            </w:tcBorders>
            <w:shd w:val="clear" w:color="auto" w:fill="auto"/>
            <w:vAlign w:val="center"/>
          </w:tcPr>
          <w:p>
            <w:pPr>
              <w:widowControl/>
              <w:jc w:val="left"/>
              <w:rPr>
                <w:rFonts w:ascii="仿宋_GB2312" w:hAnsi="宋体" w:eastAsia="仿宋_GB2312" w:cs="宋体"/>
                <w:kern w:val="0"/>
                <w:sz w:val="22"/>
              </w:rPr>
            </w:pPr>
          </w:p>
        </w:tc>
        <w:tc>
          <w:tcPr>
            <w:tcW w:w="468" w:type="pct"/>
            <w:gridSpan w:val="2"/>
            <w:tcBorders>
              <w:top w:val="nil"/>
              <w:left w:val="nil"/>
              <w:bottom w:val="nil"/>
              <w:right w:val="nil"/>
            </w:tcBorders>
            <w:shd w:val="clear" w:color="auto" w:fill="auto"/>
            <w:vAlign w:val="center"/>
          </w:tcPr>
          <w:p>
            <w:pPr>
              <w:widowControl/>
              <w:jc w:val="left"/>
              <w:rPr>
                <w:rFonts w:ascii="仿宋_GB2312" w:hAnsi="宋体" w:eastAsia="仿宋_GB2312" w:cs="宋体"/>
                <w:kern w:val="0"/>
                <w:sz w:val="22"/>
              </w:rPr>
            </w:pPr>
          </w:p>
        </w:tc>
        <w:tc>
          <w:tcPr>
            <w:tcW w:w="210" w:type="pct"/>
            <w:tcBorders>
              <w:top w:val="nil"/>
              <w:left w:val="nil"/>
              <w:bottom w:val="nil"/>
              <w:right w:val="nil"/>
            </w:tcBorders>
            <w:shd w:val="clear" w:color="auto" w:fill="auto"/>
            <w:vAlign w:val="center"/>
          </w:tcPr>
          <w:p>
            <w:pPr>
              <w:widowControl/>
              <w:jc w:val="left"/>
              <w:rPr>
                <w:rFonts w:ascii="仿宋_GB2312" w:hAnsi="宋体" w:eastAsia="仿宋_GB2312" w:cs="宋体"/>
                <w:kern w:val="0"/>
                <w:sz w:val="22"/>
              </w:rPr>
            </w:pPr>
          </w:p>
        </w:tc>
        <w:tc>
          <w:tcPr>
            <w:tcW w:w="568" w:type="pct"/>
            <w:gridSpan w:val="3"/>
            <w:tcBorders>
              <w:top w:val="nil"/>
              <w:left w:val="nil"/>
              <w:bottom w:val="nil"/>
              <w:right w:val="nil"/>
            </w:tcBorders>
            <w:shd w:val="clear" w:color="auto" w:fill="auto"/>
            <w:vAlign w:val="center"/>
          </w:tcPr>
          <w:p>
            <w:pPr>
              <w:widowControl/>
              <w:jc w:val="left"/>
              <w:rPr>
                <w:rFonts w:ascii="仿宋_GB2312" w:hAnsi="宋体" w:eastAsia="仿宋_GB2312" w:cs="宋体"/>
                <w:kern w:val="0"/>
                <w:sz w:val="22"/>
              </w:rPr>
            </w:pPr>
          </w:p>
        </w:tc>
        <w:tc>
          <w:tcPr>
            <w:tcW w:w="776" w:type="pct"/>
            <w:tcBorders>
              <w:top w:val="nil"/>
              <w:left w:val="nil"/>
              <w:bottom w:val="nil"/>
              <w:right w:val="nil"/>
            </w:tcBorders>
            <w:shd w:val="clear" w:color="auto" w:fill="auto"/>
            <w:noWrap/>
            <w:vAlign w:val="center"/>
          </w:tcPr>
          <w:p>
            <w:pPr>
              <w:widowControl/>
              <w:jc w:val="right"/>
              <w:rPr>
                <w:rFonts w:ascii="仿宋_GB2312" w:hAnsi="宋体" w:eastAsia="仿宋_GB2312" w:cs="宋体"/>
                <w:kern w:val="0"/>
                <w:sz w:val="22"/>
              </w:rPr>
            </w:pPr>
          </w:p>
        </w:tc>
      </w:tr>
      <w:tr>
        <w:tblPrEx>
          <w:tblCellMar>
            <w:top w:w="0" w:type="dxa"/>
            <w:left w:w="108" w:type="dxa"/>
            <w:bottom w:w="0" w:type="dxa"/>
            <w:right w:w="108" w:type="dxa"/>
          </w:tblCellMar>
        </w:tblPrEx>
        <w:trPr>
          <w:trHeight w:val="712" w:hRule="atLeast"/>
        </w:trPr>
        <w:tc>
          <w:tcPr>
            <w:tcW w:w="156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项目名称</w:t>
            </w:r>
          </w:p>
        </w:tc>
        <w:tc>
          <w:tcPr>
            <w:tcW w:w="3438" w:type="pct"/>
            <w:gridSpan w:val="10"/>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公安行政管理1</w:t>
            </w:r>
          </w:p>
        </w:tc>
      </w:tr>
      <w:tr>
        <w:tblPrEx>
          <w:tblCellMar>
            <w:top w:w="0" w:type="dxa"/>
            <w:left w:w="108" w:type="dxa"/>
            <w:bottom w:w="0" w:type="dxa"/>
            <w:right w:w="108" w:type="dxa"/>
          </w:tblCellMar>
        </w:tblPrEx>
        <w:trPr>
          <w:trHeight w:val="572" w:hRule="atLeast"/>
        </w:trPr>
        <w:tc>
          <w:tcPr>
            <w:tcW w:w="1561" w:type="pct"/>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预算单位</w:t>
            </w:r>
          </w:p>
        </w:tc>
        <w:tc>
          <w:tcPr>
            <w:tcW w:w="3438" w:type="pct"/>
            <w:gridSpan w:val="10"/>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新疆维吾尔自治区公安厅机关服务中心</w:t>
            </w:r>
          </w:p>
        </w:tc>
      </w:tr>
      <w:tr>
        <w:tblPrEx>
          <w:tblCellMar>
            <w:top w:w="0" w:type="dxa"/>
            <w:left w:w="108" w:type="dxa"/>
            <w:bottom w:w="0" w:type="dxa"/>
            <w:right w:w="108" w:type="dxa"/>
          </w:tblCellMar>
        </w:tblPrEx>
        <w:trPr>
          <w:trHeight w:val="477"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预算</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24"/>
                <w:szCs w:val="24"/>
              </w:rPr>
              <w:t>执行</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24"/>
                <w:szCs w:val="24"/>
              </w:rPr>
              <w:t>情况</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16"/>
                <w:szCs w:val="16"/>
              </w:rPr>
              <w:t>（万元）</w:t>
            </w: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 xml:space="preserve"> 预算数：</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r>
              <w:rPr>
                <w:rFonts w:hint="eastAsia" w:ascii="仿宋_GB2312" w:hAnsi="宋体" w:eastAsia="仿宋_GB2312" w:cs="宋体"/>
                <w:kern w:val="0"/>
                <w:sz w:val="24"/>
                <w:szCs w:val="24"/>
                <w:lang w:val="en-US" w:eastAsia="zh-CN"/>
              </w:rPr>
              <w:t>5</w:t>
            </w:r>
            <w:r>
              <w:rPr>
                <w:rFonts w:hint="eastAsia" w:ascii="仿宋_GB2312" w:hAnsi="宋体" w:eastAsia="仿宋_GB2312" w:cs="宋体"/>
                <w:kern w:val="0"/>
                <w:sz w:val="24"/>
                <w:szCs w:val="24"/>
              </w:rPr>
              <w:t>0</w:t>
            </w:r>
          </w:p>
        </w:tc>
        <w:tc>
          <w:tcPr>
            <w:tcW w:w="994" w:type="pct"/>
            <w:gridSpan w:val="4"/>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 xml:space="preserve"> 执行数：</w:t>
            </w:r>
          </w:p>
        </w:tc>
        <w:tc>
          <w:tcPr>
            <w:tcW w:w="944" w:type="pct"/>
            <w:gridSpan w:val="2"/>
            <w:tcBorders>
              <w:top w:val="nil"/>
              <w:left w:val="nil"/>
              <w:bottom w:val="single" w:color="auto" w:sz="4" w:space="0"/>
              <w:right w:val="single" w:color="auto" w:sz="4" w:space="0"/>
            </w:tcBorders>
            <w:shd w:val="clear" w:color="auto" w:fill="auto"/>
            <w:vAlign w:val="center"/>
          </w:tcPr>
          <w:p>
            <w:pPr>
              <w:widowControl/>
              <w:jc w:val="right"/>
              <w:rPr>
                <w:rFonts w:ascii="仿宋_GB2312" w:hAnsi="宋体" w:eastAsia="仿宋_GB2312" w:cs="宋体"/>
                <w:kern w:val="0"/>
                <w:sz w:val="24"/>
                <w:szCs w:val="24"/>
              </w:rPr>
            </w:pPr>
            <w:r>
              <w:rPr>
                <w:rFonts w:hint="eastAsia" w:ascii="仿宋_GB2312" w:hAnsi="宋体" w:eastAsia="仿宋_GB2312" w:cs="宋体"/>
                <w:kern w:val="0"/>
                <w:sz w:val="24"/>
                <w:szCs w:val="24"/>
              </w:rPr>
              <w:t>4</w:t>
            </w:r>
            <w:r>
              <w:rPr>
                <w:rFonts w:hint="eastAsia" w:ascii="仿宋_GB2312" w:hAnsi="宋体" w:eastAsia="仿宋_GB2312" w:cs="宋体"/>
                <w:kern w:val="0"/>
                <w:sz w:val="24"/>
                <w:szCs w:val="24"/>
                <w:lang w:val="en-US" w:eastAsia="zh-CN"/>
              </w:rPr>
              <w:t>5</w:t>
            </w:r>
            <w:r>
              <w:rPr>
                <w:rFonts w:hint="eastAsia" w:ascii="仿宋_GB2312" w:hAnsi="宋体" w:eastAsia="仿宋_GB2312" w:cs="宋体"/>
                <w:kern w:val="0"/>
                <w:sz w:val="24"/>
                <w:szCs w:val="24"/>
              </w:rPr>
              <w:t>0</w:t>
            </w:r>
          </w:p>
        </w:tc>
      </w:tr>
      <w:tr>
        <w:tblPrEx>
          <w:tblCellMar>
            <w:top w:w="0" w:type="dxa"/>
            <w:left w:w="108" w:type="dxa"/>
            <w:bottom w:w="0" w:type="dxa"/>
            <w:right w:w="108" w:type="dxa"/>
          </w:tblCellMar>
        </w:tblPrEx>
        <w:trPr>
          <w:trHeight w:val="472"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right"/>
              <w:rPr>
                <w:rFonts w:ascii="仿宋_GB2312" w:hAnsi="宋体" w:eastAsia="仿宋_GB2312" w:cs="宋体"/>
                <w:kern w:val="0"/>
                <w:sz w:val="22"/>
              </w:rPr>
            </w:pPr>
            <w:r>
              <w:rPr>
                <w:rFonts w:hint="eastAsia" w:ascii="仿宋_GB2312" w:hAnsi="宋体" w:eastAsia="仿宋_GB2312" w:cs="宋体"/>
                <w:kern w:val="0"/>
                <w:sz w:val="22"/>
              </w:rPr>
              <w:t>其中：财政拨款</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4</w:t>
            </w:r>
            <w:r>
              <w:rPr>
                <w:rFonts w:hint="eastAsia" w:ascii="仿宋_GB2312" w:hAnsi="宋体" w:eastAsia="仿宋_GB2312" w:cs="宋体"/>
                <w:kern w:val="0"/>
                <w:sz w:val="24"/>
                <w:szCs w:val="24"/>
                <w:lang w:val="en-US" w:eastAsia="zh-CN"/>
              </w:rPr>
              <w:t>5</w:t>
            </w:r>
            <w:r>
              <w:rPr>
                <w:rFonts w:hint="eastAsia" w:ascii="仿宋_GB2312" w:hAnsi="宋体" w:eastAsia="仿宋_GB2312" w:cs="宋体"/>
                <w:kern w:val="0"/>
                <w:sz w:val="24"/>
                <w:szCs w:val="24"/>
              </w:rPr>
              <w:t>0</w:t>
            </w:r>
          </w:p>
        </w:tc>
        <w:tc>
          <w:tcPr>
            <w:tcW w:w="994" w:type="pct"/>
            <w:gridSpan w:val="4"/>
            <w:tcBorders>
              <w:top w:val="nil"/>
              <w:left w:val="nil"/>
              <w:bottom w:val="nil"/>
              <w:right w:val="single" w:color="auto" w:sz="4" w:space="0"/>
            </w:tcBorders>
            <w:shd w:val="clear" w:color="auto" w:fill="auto"/>
            <w:vAlign w:val="center"/>
          </w:tcPr>
          <w:p>
            <w:pPr>
              <w:widowControl/>
              <w:jc w:val="right"/>
              <w:rPr>
                <w:rFonts w:ascii="仿宋_GB2312" w:hAnsi="宋体" w:eastAsia="仿宋_GB2312" w:cs="宋体"/>
                <w:kern w:val="0"/>
                <w:sz w:val="22"/>
              </w:rPr>
            </w:pPr>
            <w:r>
              <w:rPr>
                <w:rFonts w:hint="eastAsia" w:ascii="仿宋_GB2312" w:hAnsi="宋体" w:eastAsia="仿宋_GB2312" w:cs="宋体"/>
                <w:kern w:val="0"/>
                <w:sz w:val="22"/>
              </w:rPr>
              <w:t>其中：财政拨款</w:t>
            </w:r>
          </w:p>
        </w:tc>
        <w:tc>
          <w:tcPr>
            <w:tcW w:w="944" w:type="pct"/>
            <w:gridSpan w:val="2"/>
            <w:tcBorders>
              <w:top w:val="nil"/>
              <w:left w:val="nil"/>
              <w:bottom w:val="single" w:color="auto" w:sz="4" w:space="0"/>
              <w:right w:val="single" w:color="auto" w:sz="4" w:space="0"/>
            </w:tcBorders>
            <w:shd w:val="clear" w:color="auto" w:fill="auto"/>
            <w:vAlign w:val="center"/>
          </w:tcPr>
          <w:p>
            <w:pPr>
              <w:widowControl/>
              <w:jc w:val="right"/>
              <w:rPr>
                <w:rFonts w:ascii="仿宋_GB2312" w:hAnsi="宋体" w:eastAsia="仿宋_GB2312" w:cs="宋体"/>
                <w:kern w:val="0"/>
                <w:sz w:val="24"/>
                <w:szCs w:val="24"/>
              </w:rPr>
            </w:pPr>
            <w:r>
              <w:rPr>
                <w:rFonts w:hint="eastAsia" w:ascii="仿宋_GB2312" w:hAnsi="宋体" w:eastAsia="仿宋_GB2312" w:cs="宋体"/>
                <w:kern w:val="0"/>
                <w:sz w:val="24"/>
                <w:szCs w:val="24"/>
              </w:rPr>
              <w:t>4</w:t>
            </w:r>
            <w:r>
              <w:rPr>
                <w:rFonts w:hint="eastAsia" w:ascii="仿宋_GB2312" w:hAnsi="宋体" w:eastAsia="仿宋_GB2312" w:cs="宋体"/>
                <w:kern w:val="0"/>
                <w:sz w:val="24"/>
                <w:szCs w:val="24"/>
                <w:lang w:val="en-US" w:eastAsia="zh-CN"/>
              </w:rPr>
              <w:t>5</w:t>
            </w:r>
            <w:r>
              <w:rPr>
                <w:rFonts w:hint="eastAsia" w:ascii="仿宋_GB2312" w:hAnsi="宋体" w:eastAsia="仿宋_GB2312" w:cs="宋体"/>
                <w:kern w:val="0"/>
                <w:sz w:val="24"/>
                <w:szCs w:val="24"/>
              </w:rPr>
              <w:t>0</w:t>
            </w:r>
          </w:p>
        </w:tc>
      </w:tr>
      <w:tr>
        <w:tblPrEx>
          <w:tblCellMar>
            <w:top w:w="0" w:type="dxa"/>
            <w:left w:w="108" w:type="dxa"/>
            <w:bottom w:w="0" w:type="dxa"/>
            <w:right w:w="108" w:type="dxa"/>
          </w:tblCellMar>
        </w:tblPrEx>
        <w:trPr>
          <w:trHeight w:val="417"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998" w:type="pct"/>
            <w:gridSpan w:val="3"/>
            <w:tcBorders>
              <w:top w:val="single" w:color="auto" w:sz="4" w:space="0"/>
              <w:left w:val="nil"/>
              <w:bottom w:val="single" w:color="auto" w:sz="4" w:space="0"/>
              <w:right w:val="single" w:color="auto" w:sz="4" w:space="0"/>
            </w:tcBorders>
            <w:shd w:val="clear" w:color="auto" w:fill="auto"/>
            <w:vAlign w:val="center"/>
          </w:tcPr>
          <w:p>
            <w:pPr>
              <w:widowControl/>
              <w:jc w:val="right"/>
              <w:rPr>
                <w:rFonts w:ascii="仿宋_GB2312" w:hAnsi="宋体" w:eastAsia="仿宋_GB2312" w:cs="宋体"/>
                <w:kern w:val="0"/>
                <w:sz w:val="22"/>
              </w:rPr>
            </w:pPr>
            <w:r>
              <w:rPr>
                <w:rFonts w:hint="eastAsia" w:ascii="仿宋_GB2312" w:hAnsi="宋体" w:eastAsia="仿宋_GB2312" w:cs="宋体"/>
                <w:kern w:val="0"/>
                <w:sz w:val="22"/>
              </w:rPr>
              <w:t>其他资金</w:t>
            </w:r>
          </w:p>
        </w:tc>
        <w:tc>
          <w:tcPr>
            <w:tcW w:w="1499" w:type="pct"/>
            <w:gridSpan w:val="4"/>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c>
          <w:tcPr>
            <w:tcW w:w="994" w:type="pct"/>
            <w:gridSpan w:val="4"/>
            <w:tcBorders>
              <w:top w:val="single" w:color="auto" w:sz="4" w:space="0"/>
              <w:left w:val="nil"/>
              <w:bottom w:val="nil"/>
              <w:right w:val="single" w:color="auto" w:sz="4" w:space="0"/>
            </w:tcBorders>
            <w:shd w:val="clear" w:color="auto" w:fill="auto"/>
            <w:vAlign w:val="center"/>
          </w:tcPr>
          <w:p>
            <w:pPr>
              <w:widowControl/>
              <w:jc w:val="right"/>
              <w:rPr>
                <w:rFonts w:ascii="仿宋_GB2312" w:hAnsi="宋体" w:eastAsia="仿宋_GB2312" w:cs="宋体"/>
                <w:kern w:val="0"/>
                <w:sz w:val="22"/>
              </w:rPr>
            </w:pPr>
            <w:r>
              <w:rPr>
                <w:rFonts w:hint="eastAsia" w:ascii="仿宋_GB2312" w:hAnsi="宋体" w:eastAsia="仿宋_GB2312" w:cs="宋体"/>
                <w:kern w:val="0"/>
                <w:sz w:val="22"/>
              </w:rPr>
              <w:t>其他资金</w:t>
            </w:r>
          </w:p>
        </w:tc>
        <w:tc>
          <w:tcPr>
            <w:tcW w:w="944" w:type="pct"/>
            <w:gridSpan w:val="2"/>
            <w:tcBorders>
              <w:top w:val="nil"/>
              <w:left w:val="nil"/>
              <w:bottom w:val="single" w:color="auto" w:sz="4" w:space="0"/>
              <w:right w:val="single" w:color="auto" w:sz="4" w:space="0"/>
            </w:tcBorders>
            <w:shd w:val="clear" w:color="auto" w:fill="auto"/>
            <w:vAlign w:val="center"/>
          </w:tcPr>
          <w:p>
            <w:pPr>
              <w:widowControl/>
              <w:jc w:val="right"/>
              <w:rPr>
                <w:rFonts w:ascii="仿宋_GB2312" w:hAnsi="宋体" w:eastAsia="仿宋_GB2312" w:cs="宋体"/>
                <w:kern w:val="0"/>
                <w:sz w:val="24"/>
                <w:szCs w:val="24"/>
              </w:rPr>
            </w:pPr>
            <w:r>
              <w:rPr>
                <w:rFonts w:hint="eastAsia" w:ascii="仿宋_GB2312" w:hAnsi="宋体" w:eastAsia="仿宋_GB2312" w:cs="宋体"/>
                <w:kern w:val="0"/>
                <w:sz w:val="24"/>
                <w:szCs w:val="24"/>
              </w:rPr>
              <w:t>　</w:t>
            </w:r>
          </w:p>
        </w:tc>
      </w:tr>
      <w:tr>
        <w:tblPrEx>
          <w:tblCellMar>
            <w:top w:w="0" w:type="dxa"/>
            <w:left w:w="108" w:type="dxa"/>
            <w:bottom w:w="0" w:type="dxa"/>
            <w:right w:w="108" w:type="dxa"/>
          </w:tblCellMar>
        </w:tblPrEx>
        <w:trPr>
          <w:trHeight w:val="522"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年度</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24"/>
                <w:szCs w:val="24"/>
              </w:rPr>
              <w:t>目标</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24"/>
                <w:szCs w:val="24"/>
              </w:rPr>
              <w:t>完成</w:t>
            </w:r>
            <w:r>
              <w:rPr>
                <w:rFonts w:hint="eastAsia" w:ascii="仿宋_GB2312" w:hAnsi="宋体" w:eastAsia="仿宋_GB2312" w:cs="宋体"/>
                <w:kern w:val="0"/>
                <w:sz w:val="24"/>
                <w:szCs w:val="24"/>
              </w:rPr>
              <w:br w:type="textWrapping"/>
            </w:r>
            <w:r>
              <w:rPr>
                <w:rFonts w:hint="eastAsia" w:ascii="仿宋_GB2312" w:hAnsi="宋体" w:eastAsia="仿宋_GB2312" w:cs="宋体"/>
                <w:kern w:val="0"/>
                <w:sz w:val="24"/>
                <w:szCs w:val="24"/>
              </w:rPr>
              <w:t>情况</w:t>
            </w:r>
          </w:p>
        </w:tc>
        <w:tc>
          <w:tcPr>
            <w:tcW w:w="2497" w:type="pct"/>
            <w:gridSpan w:val="7"/>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预期目标</w:t>
            </w:r>
          </w:p>
        </w:tc>
        <w:tc>
          <w:tcPr>
            <w:tcW w:w="1939" w:type="pct"/>
            <w:gridSpan w:val="6"/>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实际完成目标</w:t>
            </w:r>
          </w:p>
        </w:tc>
      </w:tr>
      <w:tr>
        <w:tblPrEx>
          <w:tblCellMar>
            <w:top w:w="0" w:type="dxa"/>
            <w:left w:w="108" w:type="dxa"/>
            <w:bottom w:w="0" w:type="dxa"/>
            <w:right w:w="108" w:type="dxa"/>
          </w:tblCellMar>
        </w:tblPrEx>
        <w:trPr>
          <w:trHeight w:val="1800"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2497" w:type="pct"/>
            <w:gridSpan w:val="7"/>
            <w:tcBorders>
              <w:top w:val="single" w:color="auto" w:sz="4" w:space="0"/>
              <w:left w:val="nil"/>
              <w:bottom w:val="single" w:color="auto" w:sz="4" w:space="0"/>
              <w:right w:val="single" w:color="000000" w:sz="4" w:space="0"/>
            </w:tcBorders>
            <w:shd w:val="clear" w:color="auto" w:fill="auto"/>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保障厅机关日常物料消耗，提供后勤保障服务，提高工作积极性，为反恐维稳提供有力支撑。主要用于公安厅机关后勤保障运行日常物料消耗</w:t>
            </w:r>
            <w:r>
              <w:rPr>
                <w:rFonts w:hint="eastAsia" w:ascii="仿宋_GB2312" w:hAnsi="宋体" w:eastAsia="仿宋_GB2312" w:cs="宋体"/>
                <w:kern w:val="0"/>
                <w:sz w:val="24"/>
                <w:szCs w:val="24"/>
                <w:lang w:val="en-US" w:eastAsia="zh-CN"/>
              </w:rPr>
              <w:t>450</w:t>
            </w:r>
            <w:r>
              <w:rPr>
                <w:rFonts w:hint="eastAsia" w:ascii="仿宋_GB2312" w:hAnsi="宋体" w:eastAsia="仿宋_GB2312" w:cs="宋体"/>
                <w:kern w:val="0"/>
                <w:sz w:val="24"/>
                <w:szCs w:val="24"/>
              </w:rPr>
              <w:t>万元。</w:t>
            </w:r>
          </w:p>
        </w:tc>
        <w:tc>
          <w:tcPr>
            <w:tcW w:w="1939" w:type="pct"/>
            <w:gridSpan w:val="6"/>
            <w:tcBorders>
              <w:top w:val="single" w:color="auto" w:sz="4" w:space="0"/>
              <w:left w:val="nil"/>
              <w:bottom w:val="single" w:color="auto" w:sz="4" w:space="0"/>
              <w:right w:val="single" w:color="000000" w:sz="4" w:space="0"/>
            </w:tcBorders>
            <w:shd w:val="clear" w:color="auto" w:fill="auto"/>
            <w:vAlign w:val="center"/>
          </w:tcPr>
          <w:p>
            <w:pPr>
              <w:widowControl/>
              <w:jc w:val="left"/>
              <w:rPr>
                <w:rFonts w:ascii="仿宋_GB2312" w:hAnsi="宋体" w:eastAsia="仿宋_GB2312" w:cs="宋体"/>
                <w:kern w:val="0"/>
                <w:sz w:val="24"/>
                <w:szCs w:val="24"/>
              </w:rPr>
            </w:pPr>
            <w:r>
              <w:rPr>
                <w:rFonts w:hint="eastAsia" w:ascii="仿宋_GB2312" w:hAnsi="宋体" w:eastAsia="仿宋_GB2312" w:cs="宋体"/>
                <w:kern w:val="0"/>
                <w:sz w:val="24"/>
                <w:szCs w:val="24"/>
              </w:rPr>
              <w:t>履行公安机关后勤工作职责，保障全厅后勤运转。保障厅机关日常物料消耗，提供后勤保障服务，提高工作积极性，为反恐维稳提供有力支撑。</w:t>
            </w:r>
          </w:p>
        </w:tc>
      </w:tr>
      <w:tr>
        <w:tblPrEx>
          <w:tblCellMar>
            <w:top w:w="0" w:type="dxa"/>
            <w:left w:w="108" w:type="dxa"/>
            <w:bottom w:w="0" w:type="dxa"/>
            <w:right w:w="108" w:type="dxa"/>
          </w:tblCellMar>
        </w:tblPrEx>
        <w:trPr>
          <w:trHeight w:val="284" w:hRule="atLeast"/>
        </w:trPr>
        <w:tc>
          <w:tcPr>
            <w:tcW w:w="563" w:type="pct"/>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仿宋_GB2312" w:hAnsi="宋体" w:eastAsia="仿宋_GB2312" w:cs="宋体"/>
                <w:kern w:val="0"/>
                <w:sz w:val="24"/>
                <w:szCs w:val="24"/>
              </w:rPr>
            </w:pPr>
            <w:r>
              <w:rPr>
                <w:rFonts w:hint="eastAsia" w:ascii="仿宋_GB2312" w:hAnsi="宋体" w:eastAsia="仿宋_GB2312" w:cs="宋体"/>
                <w:kern w:val="0"/>
                <w:sz w:val="24"/>
                <w:szCs w:val="24"/>
              </w:rPr>
              <w:t>绩效指标</w:t>
            </w:r>
          </w:p>
        </w:tc>
        <w:tc>
          <w:tcPr>
            <w:tcW w:w="498" w:type="pct"/>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一级指标</w:t>
            </w:r>
          </w:p>
        </w:tc>
        <w:tc>
          <w:tcPr>
            <w:tcW w:w="748" w:type="pct"/>
            <w:gridSpan w:val="3"/>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二级指标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三级指标</w:t>
            </w:r>
          </w:p>
        </w:tc>
        <w:tc>
          <w:tcPr>
            <w:tcW w:w="914" w:type="pct"/>
            <w:gridSpan w:val="3"/>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预期指标值（包含数字及文字描述）</w:t>
            </w:r>
          </w:p>
        </w:tc>
        <w:tc>
          <w:tcPr>
            <w:tcW w:w="1024" w:type="pct"/>
            <w:gridSpan w:val="3"/>
            <w:tcBorders>
              <w:top w:val="nil"/>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kern w:val="0"/>
                <w:sz w:val="24"/>
                <w:szCs w:val="24"/>
              </w:rPr>
            </w:pPr>
            <w:r>
              <w:rPr>
                <w:rFonts w:hint="eastAsia" w:ascii="仿宋_GB2312" w:hAnsi="宋体" w:eastAsia="仿宋_GB2312" w:cs="宋体"/>
                <w:kern w:val="0"/>
                <w:sz w:val="24"/>
                <w:szCs w:val="24"/>
              </w:rPr>
              <w:t>实际完成指标值（包含数字及文字描述）</w:t>
            </w:r>
          </w:p>
        </w:tc>
      </w:tr>
      <w:tr>
        <w:tblPrEx>
          <w:tblCellMar>
            <w:top w:w="0" w:type="dxa"/>
            <w:left w:w="108" w:type="dxa"/>
            <w:bottom w:w="0" w:type="dxa"/>
            <w:right w:w="108" w:type="dxa"/>
          </w:tblCellMar>
        </w:tblPrEx>
        <w:trPr>
          <w:trHeight w:val="747" w:hRule="atLeast"/>
        </w:trPr>
        <w:tc>
          <w:tcPr>
            <w:tcW w:w="56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498" w:type="pct"/>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项目完成指标</w:t>
            </w:r>
          </w:p>
        </w:tc>
        <w:tc>
          <w:tcPr>
            <w:tcW w:w="748" w:type="pct"/>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宋体" w:eastAsia="仿宋_GB2312" w:cs="宋体"/>
                <w:color w:val="000000"/>
                <w:kern w:val="0"/>
                <w:sz w:val="22"/>
              </w:rPr>
            </w:pPr>
          </w:p>
          <w:p>
            <w:pPr>
              <w:widowControl/>
              <w:jc w:val="center"/>
              <w:rPr>
                <w:rFonts w:hint="eastAsia" w:ascii="仿宋_GB2312" w:hAnsi="宋体" w:eastAsia="仿宋_GB2312" w:cs="宋体"/>
                <w:color w:val="000000"/>
                <w:kern w:val="0"/>
                <w:sz w:val="22"/>
              </w:rPr>
            </w:pPr>
            <w:r>
              <w:rPr>
                <w:rFonts w:hint="eastAsia" w:ascii="仿宋_GB2312" w:hAnsi="宋体" w:eastAsia="仿宋_GB2312" w:cs="宋体"/>
                <w:color w:val="000000"/>
                <w:kern w:val="0"/>
                <w:sz w:val="22"/>
              </w:rPr>
              <w:t>数量指标</w:t>
            </w:r>
          </w:p>
          <w:p>
            <w:pPr>
              <w:widowControl/>
              <w:jc w:val="both"/>
              <w:rPr>
                <w:rFonts w:ascii="仿宋_GB2312" w:hAnsi="宋体" w:eastAsia="仿宋_GB2312" w:cs="宋体"/>
                <w:color w:val="000000"/>
                <w:kern w:val="0"/>
                <w:sz w:val="22"/>
              </w:rPr>
            </w:pPr>
          </w:p>
        </w:tc>
        <w:tc>
          <w:tcPr>
            <w:tcW w:w="1250"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lang w:val="en-US" w:eastAsia="zh-CN"/>
              </w:rPr>
              <w:t>采购物料</w:t>
            </w:r>
            <w:r>
              <w:rPr>
                <w:rFonts w:hint="eastAsia" w:ascii="仿宋_GB2312" w:hAnsi="宋体" w:eastAsia="仿宋_GB2312" w:cs="宋体"/>
                <w:color w:val="000000"/>
                <w:kern w:val="0"/>
                <w:sz w:val="22"/>
              </w:rPr>
              <w:t>次数</w:t>
            </w:r>
          </w:p>
        </w:tc>
        <w:tc>
          <w:tcPr>
            <w:tcW w:w="91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≥10次</w:t>
            </w:r>
          </w:p>
        </w:tc>
        <w:tc>
          <w:tcPr>
            <w:tcW w:w="1024" w:type="pct"/>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2"/>
                <w:lang w:val="en-US"/>
              </w:rPr>
            </w:pPr>
            <w:r>
              <w:rPr>
                <w:rFonts w:hint="eastAsia" w:ascii="仿宋_GB2312" w:hAnsi="宋体" w:eastAsia="仿宋_GB2312" w:cs="宋体"/>
                <w:color w:val="000000"/>
                <w:kern w:val="0"/>
                <w:sz w:val="22"/>
                <w:lang w:val="en-US" w:eastAsia="zh-CN"/>
              </w:rPr>
              <w:t>10次</w:t>
            </w:r>
          </w:p>
        </w:tc>
      </w:tr>
      <w:tr>
        <w:tblPrEx>
          <w:tblCellMar>
            <w:top w:w="0" w:type="dxa"/>
            <w:left w:w="108" w:type="dxa"/>
            <w:bottom w:w="0" w:type="dxa"/>
            <w:right w:w="108" w:type="dxa"/>
          </w:tblCellMar>
        </w:tblPrEx>
        <w:trPr>
          <w:trHeight w:val="722" w:hRule="atLeast"/>
        </w:trPr>
        <w:tc>
          <w:tcPr>
            <w:tcW w:w="56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498" w:type="pct"/>
            <w:vMerge w:val="continue"/>
            <w:tcBorders>
              <w:left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p>
        </w:tc>
        <w:tc>
          <w:tcPr>
            <w:tcW w:w="748" w:type="pct"/>
            <w:gridSpan w:val="3"/>
            <w:vMerge w:val="continue"/>
            <w:tcBorders>
              <w:top w:val="single" w:color="auto" w:sz="4" w:space="0"/>
              <w:left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采购物料种类</w:t>
            </w:r>
          </w:p>
        </w:tc>
        <w:tc>
          <w:tcPr>
            <w:tcW w:w="91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≥5类</w:t>
            </w:r>
          </w:p>
        </w:tc>
        <w:tc>
          <w:tcPr>
            <w:tcW w:w="102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10类</w:t>
            </w:r>
          </w:p>
        </w:tc>
      </w:tr>
      <w:tr>
        <w:tblPrEx>
          <w:tblCellMar>
            <w:top w:w="0" w:type="dxa"/>
            <w:left w:w="108" w:type="dxa"/>
            <w:bottom w:w="0" w:type="dxa"/>
            <w:right w:w="108" w:type="dxa"/>
          </w:tblCellMar>
        </w:tblPrEx>
        <w:trPr>
          <w:trHeight w:val="799"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498" w:type="pct"/>
            <w:vMerge w:val="continue"/>
            <w:tcBorders>
              <w:left w:val="single" w:color="auto" w:sz="4" w:space="0"/>
              <w:right w:val="single" w:color="auto" w:sz="4" w:space="0"/>
            </w:tcBorders>
            <w:vAlign w:val="center"/>
          </w:tcPr>
          <w:p>
            <w:pPr>
              <w:widowControl/>
              <w:jc w:val="center"/>
              <w:rPr>
                <w:rFonts w:ascii="仿宋_GB2312" w:hAnsi="宋体" w:eastAsia="仿宋_GB2312" w:cs="宋体"/>
                <w:color w:val="000000"/>
                <w:kern w:val="0"/>
                <w:sz w:val="22"/>
              </w:rPr>
            </w:pPr>
          </w:p>
        </w:tc>
        <w:tc>
          <w:tcPr>
            <w:tcW w:w="748" w:type="pct"/>
            <w:gridSpan w:val="3"/>
            <w:vMerge w:val="continue"/>
            <w:tcBorders>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供应区域覆盖面积</w:t>
            </w:r>
          </w:p>
        </w:tc>
        <w:tc>
          <w:tcPr>
            <w:tcW w:w="914" w:type="pct"/>
            <w:gridSpan w:val="3"/>
            <w:tcBorders>
              <w:top w:val="single" w:color="auto" w:sz="4" w:space="0"/>
              <w:left w:val="nil"/>
              <w:bottom w:val="single" w:color="auto" w:sz="4" w:space="0"/>
              <w:right w:val="single" w:color="auto" w:sz="4" w:space="0"/>
            </w:tcBorders>
            <w:shd w:val="clear" w:color="auto" w:fill="auto"/>
            <w:vAlign w:val="center"/>
          </w:tcPr>
          <w:p>
            <w:pPr>
              <w:widowControl/>
              <w:jc w:val="both"/>
              <w:rPr>
                <w:rFonts w:ascii="仿宋_GB2312" w:hAnsi="宋体" w:eastAsia="仿宋_GB2312" w:cs="宋体"/>
                <w:color w:val="000000"/>
                <w:kern w:val="0"/>
                <w:sz w:val="22"/>
              </w:rPr>
            </w:pPr>
            <w:r>
              <w:rPr>
                <w:rFonts w:hint="eastAsia" w:ascii="仿宋_GB2312" w:hAnsi="宋体" w:eastAsia="仿宋_GB2312" w:cs="宋体"/>
                <w:color w:val="000000"/>
                <w:kern w:val="0"/>
                <w:sz w:val="22"/>
              </w:rPr>
              <w:t>≥3000平方米</w:t>
            </w:r>
          </w:p>
        </w:tc>
        <w:tc>
          <w:tcPr>
            <w:tcW w:w="102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4326平方米</w:t>
            </w:r>
          </w:p>
        </w:tc>
      </w:tr>
      <w:tr>
        <w:tblPrEx>
          <w:tblCellMar>
            <w:top w:w="0" w:type="dxa"/>
            <w:left w:w="108" w:type="dxa"/>
            <w:bottom w:w="0" w:type="dxa"/>
            <w:right w:w="108" w:type="dxa"/>
          </w:tblCellMar>
        </w:tblPrEx>
        <w:trPr>
          <w:trHeight w:val="622"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498" w:type="pct"/>
            <w:vMerge w:val="continue"/>
            <w:tcBorders>
              <w:left w:val="single" w:color="auto" w:sz="4" w:space="0"/>
              <w:right w:val="single" w:color="auto" w:sz="4" w:space="0"/>
            </w:tcBorders>
            <w:vAlign w:val="center"/>
          </w:tcPr>
          <w:p>
            <w:pPr>
              <w:widowControl/>
              <w:jc w:val="center"/>
              <w:rPr>
                <w:rFonts w:ascii="仿宋_GB2312" w:hAnsi="宋体" w:eastAsia="仿宋_GB2312" w:cs="宋体"/>
                <w:color w:val="000000"/>
                <w:kern w:val="0"/>
                <w:sz w:val="22"/>
              </w:rPr>
            </w:pPr>
          </w:p>
        </w:tc>
        <w:tc>
          <w:tcPr>
            <w:tcW w:w="748" w:type="pct"/>
            <w:gridSpan w:val="3"/>
            <w:tcBorders>
              <w:top w:val="single" w:color="auto" w:sz="4" w:space="0"/>
              <w:left w:val="nil"/>
              <w:right w:val="single" w:color="auto" w:sz="4" w:space="0"/>
            </w:tcBorders>
            <w:shd w:val="clear" w:color="auto" w:fill="auto"/>
            <w:vAlign w:val="center"/>
          </w:tcPr>
          <w:p>
            <w:pPr>
              <w:widowControl/>
              <w:jc w:val="center"/>
              <w:rPr>
                <w:rFonts w:hint="eastAsia"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质量指标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合格物料使用率</w:t>
            </w:r>
          </w:p>
        </w:tc>
        <w:tc>
          <w:tcPr>
            <w:tcW w:w="91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≥95%</w:t>
            </w:r>
          </w:p>
        </w:tc>
        <w:tc>
          <w:tcPr>
            <w:tcW w:w="102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95%</w:t>
            </w:r>
          </w:p>
        </w:tc>
      </w:tr>
      <w:tr>
        <w:tblPrEx>
          <w:tblCellMar>
            <w:top w:w="0" w:type="dxa"/>
            <w:left w:w="108" w:type="dxa"/>
            <w:bottom w:w="0" w:type="dxa"/>
            <w:right w:w="108" w:type="dxa"/>
          </w:tblCellMar>
        </w:tblPrEx>
        <w:trPr>
          <w:trHeight w:val="832" w:hRule="atLeast"/>
        </w:trPr>
        <w:tc>
          <w:tcPr>
            <w:tcW w:w="563" w:type="pct"/>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szCs w:val="24"/>
              </w:rPr>
            </w:pPr>
          </w:p>
        </w:tc>
        <w:tc>
          <w:tcPr>
            <w:tcW w:w="498" w:type="pct"/>
            <w:vMerge w:val="continue"/>
            <w:tcBorders>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color w:val="000000"/>
                <w:kern w:val="0"/>
                <w:sz w:val="22"/>
                <w:lang w:val="en-US" w:eastAsia="zh-CN"/>
              </w:rPr>
            </w:pPr>
          </w:p>
        </w:tc>
        <w:tc>
          <w:tcPr>
            <w:tcW w:w="748"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时效指标</w:t>
            </w:r>
          </w:p>
        </w:tc>
        <w:tc>
          <w:tcPr>
            <w:tcW w:w="1250"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物料采购及时率</w:t>
            </w:r>
          </w:p>
        </w:tc>
        <w:tc>
          <w:tcPr>
            <w:tcW w:w="91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≥95%</w:t>
            </w:r>
          </w:p>
        </w:tc>
        <w:tc>
          <w:tcPr>
            <w:tcW w:w="1024" w:type="pct"/>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hint="default" w:ascii="仿宋_GB2312" w:hAnsi="宋体" w:eastAsia="仿宋_GB2312" w:cs="宋体"/>
                <w:color w:val="000000"/>
                <w:kern w:val="0"/>
                <w:sz w:val="22"/>
                <w:lang w:val="en-US" w:eastAsia="zh-CN"/>
              </w:rPr>
            </w:pPr>
            <w:r>
              <w:rPr>
                <w:rFonts w:hint="eastAsia" w:ascii="仿宋_GB2312" w:hAnsi="宋体" w:eastAsia="仿宋_GB2312" w:cs="宋体"/>
                <w:color w:val="000000"/>
                <w:kern w:val="0"/>
                <w:sz w:val="22"/>
                <w:lang w:val="en-US" w:eastAsia="zh-CN"/>
              </w:rPr>
              <w:t>97%</w:t>
            </w:r>
          </w:p>
        </w:tc>
      </w:tr>
    </w:tbl>
    <w:p>
      <w:pPr>
        <w:spacing w:line="560" w:lineRule="exact"/>
        <w:sectPr>
          <w:pgSz w:w="11906" w:h="16838"/>
          <w:pgMar w:top="1440" w:right="1800" w:bottom="1440" w:left="1800" w:header="851" w:footer="992" w:gutter="0"/>
          <w:cols w:space="425" w:num="1"/>
          <w:docGrid w:type="lines" w:linePitch="312" w:charSpace="0"/>
        </w:sectPr>
      </w:pPr>
    </w:p>
    <w:p>
      <w:pPr>
        <w:keepNext/>
        <w:keepLines/>
        <w:spacing w:line="560" w:lineRule="exact"/>
        <w:outlineLvl w:val="1"/>
        <w:rPr>
          <w:rFonts w:ascii="黑体" w:hAnsi="黑体" w:eastAsia="黑体" w:cs="黑体"/>
          <w:color w:val="000000"/>
          <w:sz w:val="32"/>
          <w:szCs w:val="24"/>
        </w:rPr>
      </w:pPr>
      <w:r>
        <w:rPr>
          <w:rFonts w:hint="eastAsia" w:ascii="黑体" w:hAnsi="黑体" w:eastAsia="黑体" w:cs="黑体"/>
          <w:color w:val="000000"/>
          <w:sz w:val="32"/>
          <w:szCs w:val="24"/>
        </w:rPr>
        <w:t>附2-1</w:t>
      </w:r>
    </w:p>
    <w:p>
      <w:pPr>
        <w:keepNext/>
        <w:keepLines/>
        <w:spacing w:line="560" w:lineRule="exact"/>
        <w:jc w:val="center"/>
        <w:outlineLvl w:val="1"/>
        <w:rPr>
          <w:rFonts w:ascii="宋体" w:hAnsi="宋体" w:eastAsia="宋体" w:cs="宋体"/>
          <w:b/>
          <w:bCs/>
          <w:color w:val="000000"/>
          <w:sz w:val="36"/>
          <w:szCs w:val="28"/>
        </w:rPr>
      </w:pPr>
      <w:r>
        <w:rPr>
          <w:rFonts w:hint="eastAsia" w:ascii="宋体" w:hAnsi="宋体" w:eastAsia="宋体" w:cs="宋体"/>
          <w:b/>
          <w:bCs/>
          <w:color w:val="000000"/>
          <w:sz w:val="36"/>
          <w:szCs w:val="28"/>
        </w:rPr>
        <w:t>项目支出绩效评价指标体系框架</w:t>
      </w:r>
    </w:p>
    <w:p>
      <w:pPr>
        <w:keepNext/>
        <w:keepLines/>
        <w:spacing w:line="560" w:lineRule="exact"/>
        <w:jc w:val="center"/>
        <w:outlineLvl w:val="1"/>
        <w:rPr>
          <w:rFonts w:ascii="Arial" w:hAnsi="Arial" w:eastAsia="黑体" w:cs="Times New Roman"/>
          <w:b/>
          <w:bCs/>
          <w:color w:val="000000"/>
          <w:sz w:val="32"/>
          <w:szCs w:val="24"/>
        </w:rPr>
      </w:pPr>
    </w:p>
    <w:tbl>
      <w:tblPr>
        <w:tblStyle w:val="7"/>
        <w:tblW w:w="13213"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89"/>
        <w:gridCol w:w="704"/>
        <w:gridCol w:w="705"/>
        <w:gridCol w:w="2370"/>
        <w:gridCol w:w="4395"/>
        <w:gridCol w:w="2012"/>
        <w:gridCol w:w="22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92" w:hRule="atLeast"/>
          <w:tblHeader/>
          <w:jc w:val="center"/>
        </w:trPr>
        <w:tc>
          <w:tcPr>
            <w:tcW w:w="789"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一级指标</w:t>
            </w:r>
          </w:p>
        </w:tc>
        <w:tc>
          <w:tcPr>
            <w:tcW w:w="704"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二级指标</w:t>
            </w:r>
          </w:p>
        </w:tc>
        <w:tc>
          <w:tcPr>
            <w:tcW w:w="705"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三级指标</w:t>
            </w:r>
          </w:p>
        </w:tc>
        <w:tc>
          <w:tcPr>
            <w:tcW w:w="2370"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指标解释</w:t>
            </w:r>
          </w:p>
        </w:tc>
        <w:tc>
          <w:tcPr>
            <w:tcW w:w="4395"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指标说明</w:t>
            </w:r>
          </w:p>
        </w:tc>
        <w:tc>
          <w:tcPr>
            <w:tcW w:w="2012"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分值</w:t>
            </w:r>
          </w:p>
        </w:tc>
        <w:tc>
          <w:tcPr>
            <w:tcW w:w="2238" w:type="dxa"/>
            <w:tcBorders>
              <w:tl2br w:val="nil"/>
              <w:tr2bl w:val="nil"/>
            </w:tcBorders>
            <w:shd w:val="clear" w:color="auto" w:fill="FFFFFF"/>
            <w:vAlign w:val="center"/>
          </w:tcPr>
          <w:p>
            <w:pPr>
              <w:widowControl/>
              <w:spacing w:line="560" w:lineRule="exact"/>
              <w:jc w:val="center"/>
              <w:rPr>
                <w:rFonts w:ascii="宋体" w:hAnsi="宋体" w:cs="宋体"/>
                <w:b/>
                <w:bCs/>
                <w:color w:val="000000"/>
                <w:kern w:val="0"/>
                <w:sz w:val="22"/>
              </w:rPr>
            </w:pPr>
            <w:r>
              <w:rPr>
                <w:rFonts w:hint="eastAsia" w:ascii="宋体" w:hAnsi="宋体" w:eastAsia="宋体" w:cs="宋体"/>
                <w:b/>
                <w:bCs/>
                <w:color w:val="000000"/>
                <w:kern w:val="0"/>
                <w:sz w:val="22"/>
              </w:rPr>
              <w:t>得分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9"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决策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（20分）　</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项目立项（6分）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立项依据</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充分性（3分）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项目立项是否符合法律法规、相关政策、发展规划以及部门职责，用以反映和考核项目立项依据情况。</w:t>
            </w:r>
          </w:p>
        </w:tc>
        <w:tc>
          <w:tcPr>
            <w:tcW w:w="4395"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①项目立项是否符合国家法律法规、国民经济发展规划和相关政策；</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②项目立项是否符合行业发展规划和政策要求；</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③项目立项是否与部门职责范围相符，属于部门履职所需；</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④项目是否属于公共财政支持范围，是否符合中央、地方事权支出责任划分原则；</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⑤项目是否与相关部门同类项目或部门内部相关项目重复。</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640"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立项程序</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规范性（3分）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项目申请、设立过程是否符合相关要求，用以反映和考核项目立项的规范情况。</w:t>
            </w:r>
          </w:p>
        </w:tc>
        <w:tc>
          <w:tcPr>
            <w:tcW w:w="4395"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①项目是否按照规定的程序申请设立；</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②审批文件、材料是否符合相关要求；</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③事前是否已经过必要的可行性研究、专家论证、风险评估、绩效评估、集体决策。</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47"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绩效目标　</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（6分）</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绩效目标</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合理性（3分）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项目所设定的绩效目标是否依据充分，是否符合客观实际，用以反映和考核项目绩效目标与项目实施的相符情况。</w:t>
            </w:r>
          </w:p>
        </w:tc>
        <w:tc>
          <w:tcPr>
            <w:tcW w:w="4395" w:type="dxa"/>
            <w:tcBorders>
              <w:tl2br w:val="nil"/>
              <w:tr2bl w:val="nil"/>
            </w:tcBorders>
            <w:shd w:val="clear" w:color="000000"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（如未设定预算绩效目标，也可考核其他工作任务目标）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①项目是否有绩效目标；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②项目绩效目标与实际工作内容是否具有相关性；</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③项目预期产出效益和效果是否符合正常的业绩水平；</w:t>
            </w:r>
          </w:p>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④是否与预算确定的项目投资额或资金量相匹配。</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64"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绩效指标</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明确性（3分）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依据绩效目标设定的绩效指标是否清晰、细化、可衡量等，用以反映和考核项目绩效目标的明细化情况。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①是否将项目绩效目标细化分解为具体的绩效指标；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②是否通过清晰、可衡量的指标值予以体现；</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③是否与项目目标任务数或计划数相对应。</w:t>
            </w:r>
            <w:r>
              <w:rPr>
                <w:rFonts w:hint="eastAsia" w:ascii="仿宋_GB2312" w:hAnsi="宋体" w:eastAsia="仿宋_GB2312" w:cs="宋体"/>
                <w:color w:val="000000"/>
                <w:kern w:val="0"/>
                <w:sz w:val="18"/>
                <w:szCs w:val="18"/>
              </w:rPr>
              <w:br w:type="textWrapping"/>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97"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资金投入</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预算编制</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科学性（4分）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项目预算编制是否经过科学论证、有明确标准，资金额度与年度目标是否相适应，用以反映和考核项目预算编制的科学性、合理性情况。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①预算编制是否经过科学论证；</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②预算内容与项目内容是否匹配；</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③预算额度测算依据是否充分，是否按照标准编制；</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④预算确定的项目投资额或资金量是否与工作任务相匹配。</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8"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资金分配</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合理性（4分）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项目预算资金分配是否有测算依据，与补助单位或地方实际是否相适应，用以反映和考核项目预算资金分配的科学性、合理性情况。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①预算资金分配依据是否充分；</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②资金分配额度是否合理，与项目单位或地方实际是否相适应。</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415" w:hRule="atLeast"/>
          <w:jc w:val="center"/>
        </w:trPr>
        <w:tc>
          <w:tcPr>
            <w:tcW w:w="789" w:type="dxa"/>
            <w:vMerge w:val="restart"/>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过程　</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（20分）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资金管理</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（10分）</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资金到位率（2分）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实际到位资金与预算资金的比率，用以反映和考核资金落实情况对项目实施的总体保障程度。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资金到位率=（实际到位资金/预算资金）×100%。</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实际到位资金：一定时期（本年度或项目期）内落实到具体项目的资金。</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预算资金：一定时期（本年度或项目期）内预算安排到具体项目的资金。</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31"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预算执行率（5分）</w:t>
            </w:r>
          </w:p>
        </w:tc>
        <w:tc>
          <w:tcPr>
            <w:tcW w:w="2370"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项目预算资金是否按照计划执行，用以反映或考核项目预算执行情况。</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预算执行率=（实际支出资金/实际到位资金）×100%。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实际支出资金：一定时期（本年度或项目期）内项目实际拨付的资金。</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373"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资金使用</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合规性（3分）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项目资金使用是否符合相关的财务管理制度规定，用以反映和考核项目资金的规范运行情况。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①是否符合国家财经法规和财务管理制度以及有关专项资金管理办法的规定；</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②资金的拨付是否有完整的审批程序和手续；</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③是否符合项目预算批复或合同规定的用途；</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④是否存在截留、挤占、挪用、虚列支出等情况。</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9"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组织实施</w:t>
            </w:r>
          </w:p>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（10分）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管理制度</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健全性（5分）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项目实施单位的财务和业务管理制度是否健全，用以反映和考核财务和业务管理制度对项目顺利实施的保障情况。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①是否已制定或具有相应的财务和业务管理制度；</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②财务和业务管理制度是否合法、合规、完整。</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69"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制度执行</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有效性（5分）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项目实施是否符合相关管理规定，用以反映和考核相关管理制度的有效执行情况。</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评价要点：</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①是否遵守相关法律法规和相关管理规定；</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②项目调整及支出调整手续是否完备；</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③项目合同书、验收报告、技术鉴定等资料是否齐全并及时归档；</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④项目实施的人员条件、场地设备、信息支撑等是否落实到位。</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31"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w:t>
            </w:r>
          </w:p>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（30分）</w:t>
            </w: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产出数量</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实际完成率（8分）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项目实施的实际产出数与计划产出数的比率，用以反映和考核项目产出数量目标的实现程度。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实际完成率=（实际产出数/计划产出数）×100%。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实际产出数：一定时期（本年度或项目期）内项目实际产出的产品或提供的服务数量。</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计划产出数：项目绩效目标确定的在一定时期（本年度或项目期）内计划产出的产品或提供的服务数量。</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718"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产出质量</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质量达标率（8分）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项目完成的质量达标产出数与实际产出数的比率，用以反映和考核项目产出质量目标的实现程度。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质量达标率=（质量达标产出数/实际产出数）×100%。</w:t>
            </w:r>
          </w:p>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06" w:hRule="atLeast"/>
          <w:jc w:val="center"/>
        </w:trPr>
        <w:tc>
          <w:tcPr>
            <w:tcW w:w="789" w:type="dxa"/>
            <w:vMerge w:val="continue"/>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产出时效</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完成及时性（7分）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项目实际完成时间与计划完成时间的比较，用以反映和考核项目产出时效目标的实现程度。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实际完成时间：项目实施单位完成该项目实际所耗用的时间。</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计划完成时间：按照项目实施计划或相关规定完成该项目所需的时间。</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076"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产出成本</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成本节约率（7分）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完成项目计划工作目标的实际节约成本与计划成本的比率，用以反映和考核项目的成本节约程度。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成本节约率=[（计划成本-实际成本）/计划成本]×100%。</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实际成本：项目实施单位如期、保质、保量完成既定工作目标实际所耗费的支出。</w:t>
            </w:r>
            <w:r>
              <w:rPr>
                <w:rFonts w:hint="eastAsia" w:ascii="仿宋_GB2312" w:hAnsi="宋体" w:eastAsia="仿宋_GB2312" w:cs="宋体"/>
                <w:color w:val="000000"/>
                <w:kern w:val="0"/>
                <w:sz w:val="18"/>
                <w:szCs w:val="18"/>
              </w:rPr>
              <w:br w:type="textWrapping"/>
            </w:r>
            <w:r>
              <w:rPr>
                <w:rFonts w:hint="eastAsia" w:ascii="仿宋_GB2312" w:hAnsi="宋体" w:eastAsia="仿宋_GB2312" w:cs="宋体"/>
                <w:color w:val="000000"/>
                <w:kern w:val="0"/>
                <w:sz w:val="18"/>
                <w:szCs w:val="18"/>
              </w:rPr>
              <w:t>计划成本：项目实施单位为完成工作目标计划安排的支出，一般以项目预算为参考。</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39" w:hRule="atLeast"/>
          <w:jc w:val="center"/>
        </w:trPr>
        <w:tc>
          <w:tcPr>
            <w:tcW w:w="789"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效益（30分）　</w:t>
            </w:r>
          </w:p>
        </w:tc>
        <w:tc>
          <w:tcPr>
            <w:tcW w:w="704" w:type="dxa"/>
            <w:vMerge w:val="restart"/>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项目效益　</w:t>
            </w: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实施效益（15分）</w:t>
            </w:r>
          </w:p>
        </w:tc>
        <w:tc>
          <w:tcPr>
            <w:tcW w:w="2370" w:type="dxa"/>
            <w:tcBorders>
              <w:tl2br w:val="nil"/>
              <w:tr2bl w:val="nil"/>
            </w:tcBorders>
            <w:shd w:val="clear" w:color="auto" w:fill="FFFFFF"/>
            <w:vAlign w:val="center"/>
          </w:tcPr>
          <w:p>
            <w:pPr>
              <w:widowControl/>
              <w:spacing w:line="560" w:lineRule="exact"/>
              <w:jc w:val="lef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项目实施所产生的效益。</w:t>
            </w:r>
          </w:p>
        </w:tc>
        <w:tc>
          <w:tcPr>
            <w:tcW w:w="4395" w:type="dxa"/>
            <w:tcBorders>
              <w:tl2br w:val="nil"/>
              <w:tr2bl w:val="nil"/>
            </w:tcBorders>
            <w:shd w:val="clear" w:color="auto"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项目实施所产生的社会效益、经济效益、生态效益、可持续影响等。可根据项目实际情况有选择地设置和细化。</w:t>
            </w:r>
          </w:p>
        </w:tc>
        <w:tc>
          <w:tcPr>
            <w:tcW w:w="2012"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c>
          <w:tcPr>
            <w:tcW w:w="2238"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32" w:hRule="atLeast"/>
          <w:jc w:val="center"/>
        </w:trPr>
        <w:tc>
          <w:tcPr>
            <w:tcW w:w="789"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4" w:type="dxa"/>
            <w:vMerge w:val="continue"/>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p>
        </w:tc>
        <w:tc>
          <w:tcPr>
            <w:tcW w:w="705" w:type="dxa"/>
            <w:tcBorders>
              <w:tl2br w:val="nil"/>
              <w:tr2bl w:val="nil"/>
            </w:tcBorders>
            <w:shd w:val="clear" w:color="auto"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满意度（15分）</w:t>
            </w:r>
          </w:p>
        </w:tc>
        <w:tc>
          <w:tcPr>
            <w:tcW w:w="2370"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社会公众或服务对象对项目实施效果的满意程度。</w:t>
            </w:r>
          </w:p>
        </w:tc>
        <w:tc>
          <w:tcPr>
            <w:tcW w:w="4395" w:type="dxa"/>
            <w:tcBorders>
              <w:tl2br w:val="nil"/>
              <w:tr2bl w:val="nil"/>
            </w:tcBorders>
            <w:shd w:val="clear" w:color="000000" w:fill="FFFFFF"/>
            <w:vAlign w:val="center"/>
          </w:tcPr>
          <w:p>
            <w:pPr>
              <w:widowControl/>
              <w:spacing w:line="560" w:lineRule="exact"/>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社会公众或服务对象是指因该项目实施而受到影响的部门（单位）、群体或个人。一般采取社会调查的方式。</w:t>
            </w:r>
          </w:p>
        </w:tc>
        <w:tc>
          <w:tcPr>
            <w:tcW w:w="2012"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c>
          <w:tcPr>
            <w:tcW w:w="2238" w:type="dxa"/>
            <w:tcBorders>
              <w:tl2br w:val="nil"/>
              <w:tr2bl w:val="nil"/>
            </w:tcBorders>
            <w:shd w:val="clear" w:color="000000" w:fill="FFFFFF"/>
            <w:vAlign w:val="center"/>
          </w:tcPr>
          <w:p>
            <w:pPr>
              <w:widowControl/>
              <w:spacing w:line="560" w:lineRule="exact"/>
              <w:jc w:val="center"/>
              <w:rPr>
                <w:rFonts w:ascii="仿宋_GB2312" w:hAnsi="宋体" w:eastAsia="仿宋_GB2312" w:cs="宋体"/>
                <w:color w:val="000000"/>
                <w:kern w:val="0"/>
                <w:sz w:val="18"/>
                <w:szCs w:val="18"/>
              </w:rPr>
            </w:pPr>
            <w:r>
              <w:rPr>
                <w:rFonts w:hint="eastAsia" w:ascii="仿宋_GB2312" w:hAnsi="宋体" w:eastAsia="仿宋_GB2312" w:cs="宋体"/>
                <w:color w:val="000000"/>
                <w:kern w:val="0"/>
                <w:sz w:val="18"/>
                <w:szCs w:val="18"/>
              </w:rPr>
              <w:t>15</w:t>
            </w:r>
          </w:p>
        </w:tc>
      </w:tr>
    </w:tbl>
    <w:p>
      <w:pPr>
        <w:spacing w:line="560" w:lineRule="exact"/>
        <w:rPr>
          <w:rFonts w:ascii="仿宋_GB2312" w:hAnsi="Times New Roman" w:eastAsia="仿宋_GB2312" w:cs="Times New Roman"/>
          <w:bCs/>
          <w:sz w:val="32"/>
          <w:szCs w:val="32"/>
        </w:rPr>
      </w:pPr>
    </w:p>
    <w:p>
      <w:pPr>
        <w:spacing w:line="560" w:lineRule="exact"/>
        <w:rPr>
          <w:rFonts w:ascii="黑体" w:hAnsi="黑体" w:eastAsia="黑体" w:cs="Times New Roman"/>
          <w:sz w:val="32"/>
          <w:szCs w:val="32"/>
        </w:rPr>
      </w:pPr>
    </w:p>
    <w:p>
      <w:pPr>
        <w:spacing w:line="560" w:lineRule="exact"/>
        <w:rPr>
          <w:rFonts w:ascii="黑体" w:hAnsi="黑体" w:eastAsia="黑体" w:cs="Times New Roman"/>
          <w:sz w:val="32"/>
          <w:szCs w:val="32"/>
        </w:rPr>
      </w:pPr>
    </w:p>
    <w:p>
      <w:pPr>
        <w:spacing w:line="560" w:lineRule="exact"/>
      </w:pPr>
    </w:p>
    <w:p>
      <w:pPr>
        <w:spacing w:line="560" w:lineRule="exact"/>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F0C646"/>
    <w:multiLevelType w:val="singleLevel"/>
    <w:tmpl w:val="38F0C64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05D"/>
    <w:rsid w:val="00004A98"/>
    <w:rsid w:val="000321D3"/>
    <w:rsid w:val="000468DE"/>
    <w:rsid w:val="00083D3A"/>
    <w:rsid w:val="000B3AA4"/>
    <w:rsid w:val="00105E2A"/>
    <w:rsid w:val="00122217"/>
    <w:rsid w:val="00140D63"/>
    <w:rsid w:val="00154282"/>
    <w:rsid w:val="00174535"/>
    <w:rsid w:val="00202C85"/>
    <w:rsid w:val="00241C74"/>
    <w:rsid w:val="002531F8"/>
    <w:rsid w:val="002D0511"/>
    <w:rsid w:val="002E11EA"/>
    <w:rsid w:val="002F61E5"/>
    <w:rsid w:val="00314954"/>
    <w:rsid w:val="003451C9"/>
    <w:rsid w:val="00367141"/>
    <w:rsid w:val="003741CC"/>
    <w:rsid w:val="0038302C"/>
    <w:rsid w:val="003844BC"/>
    <w:rsid w:val="00390EF0"/>
    <w:rsid w:val="003E4C68"/>
    <w:rsid w:val="004B4F32"/>
    <w:rsid w:val="004D2233"/>
    <w:rsid w:val="004D548B"/>
    <w:rsid w:val="004F1A44"/>
    <w:rsid w:val="00516956"/>
    <w:rsid w:val="00541A77"/>
    <w:rsid w:val="005B0413"/>
    <w:rsid w:val="005B238D"/>
    <w:rsid w:val="005E205D"/>
    <w:rsid w:val="00681A14"/>
    <w:rsid w:val="006A0FE5"/>
    <w:rsid w:val="006D4D7D"/>
    <w:rsid w:val="007169C5"/>
    <w:rsid w:val="007230D1"/>
    <w:rsid w:val="00735B96"/>
    <w:rsid w:val="00744F13"/>
    <w:rsid w:val="007623AD"/>
    <w:rsid w:val="0077450E"/>
    <w:rsid w:val="007A09CF"/>
    <w:rsid w:val="007B551D"/>
    <w:rsid w:val="007C4F00"/>
    <w:rsid w:val="008017F9"/>
    <w:rsid w:val="00876147"/>
    <w:rsid w:val="00876CA0"/>
    <w:rsid w:val="0089556A"/>
    <w:rsid w:val="008F1B60"/>
    <w:rsid w:val="00911EB4"/>
    <w:rsid w:val="00926430"/>
    <w:rsid w:val="0097146B"/>
    <w:rsid w:val="00972366"/>
    <w:rsid w:val="00984D76"/>
    <w:rsid w:val="0099238E"/>
    <w:rsid w:val="009A0D1A"/>
    <w:rsid w:val="009A106D"/>
    <w:rsid w:val="009A7F07"/>
    <w:rsid w:val="009B79AB"/>
    <w:rsid w:val="009C017B"/>
    <w:rsid w:val="009D34E9"/>
    <w:rsid w:val="009E7FCC"/>
    <w:rsid w:val="009F3D25"/>
    <w:rsid w:val="00AD25CC"/>
    <w:rsid w:val="00B0370B"/>
    <w:rsid w:val="00B574BB"/>
    <w:rsid w:val="00B83437"/>
    <w:rsid w:val="00BC3DB4"/>
    <w:rsid w:val="00C66304"/>
    <w:rsid w:val="00C7677B"/>
    <w:rsid w:val="00CC2D9D"/>
    <w:rsid w:val="00D678C1"/>
    <w:rsid w:val="00DA032D"/>
    <w:rsid w:val="00DF6AE5"/>
    <w:rsid w:val="00E60BD1"/>
    <w:rsid w:val="00EF14F2"/>
    <w:rsid w:val="00F01D26"/>
    <w:rsid w:val="00F059A3"/>
    <w:rsid w:val="00F163F0"/>
    <w:rsid w:val="00F35B70"/>
    <w:rsid w:val="00F66B2F"/>
    <w:rsid w:val="00F737D0"/>
    <w:rsid w:val="00F84150"/>
    <w:rsid w:val="00F8554E"/>
    <w:rsid w:val="00F928F5"/>
    <w:rsid w:val="00FA0C43"/>
    <w:rsid w:val="00FA2274"/>
    <w:rsid w:val="00FA5515"/>
    <w:rsid w:val="00FC468C"/>
    <w:rsid w:val="00FD4186"/>
    <w:rsid w:val="031A04E5"/>
    <w:rsid w:val="0ECE126A"/>
    <w:rsid w:val="1E7618C3"/>
    <w:rsid w:val="2A08637F"/>
    <w:rsid w:val="2AE076EA"/>
    <w:rsid w:val="35033E04"/>
    <w:rsid w:val="3FF0411B"/>
    <w:rsid w:val="43F579CC"/>
    <w:rsid w:val="54352851"/>
    <w:rsid w:val="5E0B4C0E"/>
    <w:rsid w:val="68DC0114"/>
    <w:rsid w:val="6AF1726A"/>
    <w:rsid w:val="6B7926A2"/>
    <w:rsid w:val="760133A5"/>
    <w:rsid w:val="7A5F6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qFormat/>
    <w:uiPriority w:val="0"/>
    <w:pPr>
      <w:keepNext/>
      <w:keepLines/>
      <w:spacing w:before="260" w:after="260" w:line="413" w:lineRule="auto"/>
      <w:outlineLvl w:val="1"/>
    </w:pPr>
    <w:rPr>
      <w:rFonts w:ascii="Arial" w:hAnsi="Arial" w:eastAsia="黑体" w:cs="Times New Roman"/>
      <w:b/>
      <w:sz w:val="32"/>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rPr>
      <w:rFonts w:ascii="Calibri" w:hAnsi="Calibri" w:eastAsia="宋体" w:cs="Times New Roman"/>
    </w:rPr>
  </w:style>
  <w:style w:type="paragraph" w:styleId="4">
    <w:name w:val="Balloon Text"/>
    <w:basedOn w:val="1"/>
    <w:link w:val="16"/>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bCs/>
    </w:rPr>
  </w:style>
  <w:style w:type="character" w:styleId="10">
    <w:name w:val="annotation reference"/>
    <w:basedOn w:val="8"/>
    <w:semiHidden/>
    <w:unhideWhenUsed/>
    <w:qFormat/>
    <w:uiPriority w:val="99"/>
    <w:rPr>
      <w:sz w:val="21"/>
      <w:szCs w:val="21"/>
    </w:rPr>
  </w:style>
  <w:style w:type="paragraph" w:customStyle="1" w:styleId="11">
    <w:name w:val="闻政正文"/>
    <w:basedOn w:val="1"/>
    <w:link w:val="12"/>
    <w:qFormat/>
    <w:uiPriority w:val="99"/>
    <w:pPr>
      <w:spacing w:line="500" w:lineRule="exact"/>
      <w:ind w:firstLine="883" w:firstLineChars="200"/>
    </w:pPr>
    <w:rPr>
      <w:rFonts w:ascii="Times New Roman" w:hAnsi="Times New Roman" w:eastAsia="仿宋_GB2312" w:cs="Times New Roman"/>
      <w:kern w:val="0"/>
      <w:sz w:val="28"/>
      <w:szCs w:val="28"/>
    </w:rPr>
  </w:style>
  <w:style w:type="character" w:customStyle="1" w:styleId="12">
    <w:name w:val="闻政正文 Char"/>
    <w:link w:val="11"/>
    <w:qFormat/>
    <w:uiPriority w:val="99"/>
    <w:rPr>
      <w:rFonts w:ascii="Times New Roman" w:hAnsi="Times New Roman" w:eastAsia="仿宋_GB2312" w:cs="Times New Roman"/>
      <w:kern w:val="0"/>
      <w:sz w:val="28"/>
      <w:szCs w:val="28"/>
    </w:rPr>
  </w:style>
  <w:style w:type="character" w:customStyle="1" w:styleId="13">
    <w:name w:val="标题 2 Char"/>
    <w:basedOn w:val="8"/>
    <w:link w:val="2"/>
    <w:qFormat/>
    <w:uiPriority w:val="0"/>
    <w:rPr>
      <w:rFonts w:ascii="Arial" w:hAnsi="Arial" w:eastAsia="黑体" w:cs="Times New Roman"/>
      <w:b/>
      <w:sz w:val="32"/>
      <w:szCs w:val="24"/>
    </w:rPr>
  </w:style>
  <w:style w:type="character" w:customStyle="1" w:styleId="14">
    <w:name w:val="页眉 Char"/>
    <w:basedOn w:val="8"/>
    <w:link w:val="6"/>
    <w:qFormat/>
    <w:uiPriority w:val="99"/>
    <w:rPr>
      <w:sz w:val="18"/>
      <w:szCs w:val="18"/>
    </w:rPr>
  </w:style>
  <w:style w:type="character" w:customStyle="1" w:styleId="15">
    <w:name w:val="页脚 Char"/>
    <w:basedOn w:val="8"/>
    <w:link w:val="5"/>
    <w:qFormat/>
    <w:uiPriority w:val="99"/>
    <w:rPr>
      <w:sz w:val="18"/>
      <w:szCs w:val="18"/>
    </w:rPr>
  </w:style>
  <w:style w:type="character" w:customStyle="1" w:styleId="16">
    <w:name w:val="批注框文本 Char"/>
    <w:basedOn w:val="8"/>
    <w:link w:val="4"/>
    <w:semiHidden/>
    <w:qFormat/>
    <w:uiPriority w:val="99"/>
    <w:rPr>
      <w:sz w:val="18"/>
      <w:szCs w:val="18"/>
    </w:rPr>
  </w:style>
  <w:style w:type="character" w:customStyle="1" w:styleId="17">
    <w:name w:val="批注文字 Char"/>
    <w:basedOn w:val="8"/>
    <w:link w:val="3"/>
    <w:semiHidden/>
    <w:qFormat/>
    <w:uiPriority w:val="99"/>
    <w:rPr>
      <w:rFonts w:ascii="Calibri" w:hAnsi="Calibri" w:eastAsia="宋体" w:cs="Times New Roman"/>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E7120-7217-4464-8606-DE8417FFD757}">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17</Pages>
  <Words>5015</Words>
  <Characters>5119</Characters>
  <Lines>41</Lines>
  <Paragraphs>11</Paragraphs>
  <TotalTime>0</TotalTime>
  <ScaleCrop>false</ScaleCrop>
  <LinksUpToDate>false</LinksUpToDate>
  <CharactersWithSpaces>5158</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2024-03-13T03:28:00Z</dcterms:created>
  <dc:creator>Administrator</dc:creator>
  <cp:lastModifiedBy>陈伟</cp:lastModifiedBy>
  <cp:lastPrinted>2026-04-07T05:25:00Z</cp:lastPrinted>
  <dcterms:modified xsi:type="dcterms:W3CDTF">2026-10-14T09:08:58Z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0560C047C7D04085B11D9C1A2CA447A8</vt:lpwstr>
  </property>
  <property fmtid="{D5CDD505-2E9C-101B-9397-08002B2CF9AE}" pid="4" name="5B77E7CEEC58BC6AFAE8886BEB80DBEB">
    <vt:lpwstr>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</vt:lpwstr>
  </property>
</Properties>
</file>