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宋体" w:eastAsia="宋体"/>
          <w:sz w:val="32"/>
          <w:szCs w:val="32"/>
        </w:rPr>
      </w:pPr>
      <w:bookmarkStart w:id="0" w:name="_GoBack"/>
      <w:bookmarkEnd w:id="0"/>
    </w:p>
    <w:p>
      <w:pPr>
        <w:spacing w:after="0" w:line="240" w:lineRule="auto"/>
        <w:rPr>
          <w:rFonts w:ascii="宋体" w:eastAsia="宋体"/>
          <w:sz w:val="44"/>
          <w:szCs w:val="44"/>
        </w:rPr>
      </w:pPr>
    </w:p>
    <w:p>
      <w:pPr>
        <w:spacing w:after="0" w:line="240" w:lineRule="auto"/>
        <w:rPr>
          <w:rFonts w:ascii="宋体" w:eastAsia="宋体"/>
          <w:sz w:val="44"/>
          <w:szCs w:val="44"/>
        </w:rPr>
      </w:pPr>
    </w:p>
    <w:p>
      <w:pPr>
        <w:spacing w:after="0" w:line="240" w:lineRule="auto"/>
        <w:rPr>
          <w:rFonts w:ascii="宋体" w:eastAsia="宋体"/>
          <w:sz w:val="44"/>
          <w:szCs w:val="44"/>
        </w:rPr>
      </w:pPr>
    </w:p>
    <w:p>
      <w:pPr>
        <w:spacing w:after="0" w:line="240" w:lineRule="auto"/>
        <w:jc w:val="center"/>
        <w:outlineLvl w:val="0"/>
        <w:rPr>
          <w:rFonts w:ascii="宋体" w:eastAsia="黑体"/>
          <w:sz w:val="44"/>
          <w:szCs w:val="44"/>
          <w:lang w:eastAsia="zh-CN"/>
        </w:rPr>
      </w:pPr>
      <w:r>
        <w:rPr>
          <w:rFonts w:ascii="宋体" w:eastAsia="黑体"/>
          <w:sz w:val="44"/>
          <w:szCs w:val="44"/>
          <w:lang w:eastAsia="zh-CN"/>
        </w:rPr>
        <w:t>新疆维吾尔自治区公安厅机关服务中心</w:t>
      </w:r>
    </w:p>
    <w:p>
      <w:pPr>
        <w:spacing w:after="0" w:line="240" w:lineRule="auto"/>
        <w:jc w:val="center"/>
        <w:outlineLvl w:val="0"/>
        <w:rPr>
          <w:rFonts w:ascii="黑体" w:eastAsia="黑体"/>
          <w:sz w:val="44"/>
          <w:szCs w:val="44"/>
          <w:lang w:eastAsia="zh-CN"/>
        </w:rPr>
      </w:pPr>
      <w:r>
        <w:rPr>
          <w:rFonts w:ascii="黑体" w:eastAsia="黑体"/>
          <w:sz w:val="44"/>
          <w:szCs w:val="44"/>
          <w:lang w:eastAsia="zh-CN"/>
        </w:rPr>
        <w:t>2024年度部门决算公开说明</w:t>
      </w:r>
    </w:p>
    <w:p>
      <w:pPr>
        <w:rPr>
          <w:lang w:eastAsia="zh-CN"/>
        </w:rPr>
      </w:pPr>
      <w:r>
        <w:rPr>
          <w:sz w:val="0"/>
          <w:szCs w:val="0"/>
          <w:lang w:eastAsia="zh-CN"/>
        </w:rPr>
        <w:br w:type="page"/>
      </w:r>
    </w:p>
    <w:p>
      <w:pPr>
        <w:spacing w:after="0" w:line="240" w:lineRule="auto"/>
        <w:jc w:val="center"/>
        <w:rPr>
          <w:rFonts w:ascii="黑体" w:eastAsia="黑体"/>
          <w:sz w:val="32"/>
          <w:szCs w:val="32"/>
          <w:lang w:eastAsia="zh-CN"/>
        </w:rPr>
      </w:pPr>
      <w:r>
        <w:rPr>
          <w:rFonts w:ascii="黑体" w:eastAsia="黑体"/>
          <w:b/>
          <w:sz w:val="32"/>
          <w:szCs w:val="32"/>
          <w:lang w:eastAsia="zh-CN"/>
        </w:rPr>
        <w:t>目  录</w:t>
      </w:r>
    </w:p>
    <w:p>
      <w:pPr>
        <w:spacing w:after="0" w:line="240" w:lineRule="auto"/>
        <w:rPr>
          <w:rFonts w:ascii="仿宋_GB2312" w:eastAsia="仿宋_GB2312"/>
          <w:sz w:val="32"/>
          <w:szCs w:val="32"/>
          <w:lang w:eastAsia="zh-CN"/>
        </w:rPr>
      </w:pPr>
      <w:r>
        <w:rPr>
          <w:rFonts w:ascii="仿宋_GB2312" w:eastAsia="仿宋_GB2312"/>
          <w:b/>
          <w:sz w:val="32"/>
          <w:szCs w:val="32"/>
          <w:lang w:eastAsia="zh-CN"/>
        </w:rPr>
        <w:t>第一部分单位概况</w:t>
      </w:r>
    </w:p>
    <w:p>
      <w:pPr>
        <w:spacing w:after="0" w:line="240" w:lineRule="auto"/>
        <w:rPr>
          <w:rFonts w:ascii="仿宋_GB2312" w:eastAsia="仿宋_GB2312"/>
          <w:sz w:val="32"/>
          <w:szCs w:val="32"/>
          <w:lang w:eastAsia="zh-CN"/>
        </w:rPr>
      </w:pPr>
      <w:r>
        <w:rPr>
          <w:rFonts w:ascii="仿宋_GB2312" w:eastAsia="仿宋_GB2312"/>
          <w:sz w:val="32"/>
          <w:szCs w:val="32"/>
          <w:lang w:eastAsia="zh-CN"/>
        </w:rPr>
        <w:t>一、主要职能</w:t>
      </w:r>
    </w:p>
    <w:p>
      <w:pPr>
        <w:spacing w:after="0" w:line="240" w:lineRule="auto"/>
        <w:rPr>
          <w:rFonts w:ascii="仿宋_GB2312" w:eastAsia="仿宋_GB2312"/>
          <w:sz w:val="32"/>
          <w:szCs w:val="32"/>
          <w:lang w:eastAsia="zh-CN"/>
        </w:rPr>
      </w:pPr>
      <w:r>
        <w:rPr>
          <w:rFonts w:ascii="仿宋_GB2312" w:eastAsia="仿宋_GB2312"/>
          <w:sz w:val="32"/>
          <w:szCs w:val="32"/>
          <w:lang w:eastAsia="zh-CN"/>
        </w:rPr>
        <w:t>二、机构设置及人员情况</w:t>
      </w:r>
    </w:p>
    <w:p>
      <w:pPr>
        <w:spacing w:after="0" w:line="240" w:lineRule="auto"/>
        <w:rPr>
          <w:rFonts w:ascii="仿宋_GB2312" w:eastAsia="仿宋_GB2312"/>
          <w:sz w:val="32"/>
          <w:szCs w:val="32"/>
          <w:lang w:eastAsia="zh-CN"/>
        </w:rPr>
      </w:pPr>
      <w:r>
        <w:rPr>
          <w:rFonts w:ascii="仿宋_GB2312" w:eastAsia="仿宋_GB2312"/>
          <w:b/>
          <w:sz w:val="32"/>
          <w:szCs w:val="32"/>
          <w:lang w:eastAsia="zh-CN"/>
        </w:rPr>
        <w:t>第二部分 部门决算情况说明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一、收入支出决算总体情况说明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四、财政拨款收入支出决算总体情况说明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（一）一般公共预算财政拨款支出决算总体情况</w:t>
      </w:r>
    </w:p>
    <w:p>
      <w:pPr>
        <w:spacing w:after="0" w:line="240" w:lineRule="auto"/>
        <w:rPr>
          <w:rFonts w:ascii="仿宋_GB2312" w:eastAsia="仿宋_GB2312"/>
          <w:sz w:val="32"/>
          <w:szCs w:val="32"/>
          <w:lang w:eastAsia="zh-CN"/>
        </w:rPr>
      </w:pPr>
      <w:r>
        <w:rPr>
          <w:rFonts w:ascii="仿宋_GB2312" w:eastAsia="仿宋_GB2312"/>
          <w:sz w:val="32"/>
          <w:szCs w:val="32"/>
          <w:lang w:eastAsia="zh-CN"/>
        </w:rPr>
        <w:t>（二）一般公共预算财政拨款支出决算结构情况</w:t>
      </w:r>
    </w:p>
    <w:p>
      <w:pPr>
        <w:spacing w:after="0" w:line="240" w:lineRule="auto"/>
        <w:rPr>
          <w:rFonts w:ascii="仿宋_GB2312" w:eastAsia="仿宋_GB2312"/>
          <w:sz w:val="32"/>
          <w:szCs w:val="32"/>
          <w:lang w:eastAsia="zh-CN"/>
        </w:rPr>
      </w:pPr>
      <w:r>
        <w:rPr>
          <w:rFonts w:ascii="仿宋_GB2312" w:eastAsia="仿宋_GB2312"/>
          <w:sz w:val="32"/>
          <w:szCs w:val="32"/>
          <w:lang w:eastAsia="zh-CN"/>
        </w:rPr>
        <w:t>（三）一般公共预算财政拨款支出决算具体情况</w:t>
      </w:r>
    </w:p>
    <w:p>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​十、其他重要事项的情况说明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（一）机关运行经费及公用经费支出情况</w:t>
      </w:r>
    </w:p>
    <w:p>
      <w:pPr>
        <w:spacing w:after="0" w:line="240" w:lineRule="auto"/>
        <w:rPr>
          <w:rFonts w:ascii="仿宋_GB2312" w:eastAsia="仿宋_GB2312"/>
          <w:sz w:val="32"/>
          <w:szCs w:val="32"/>
          <w:lang w:eastAsia="zh-CN"/>
        </w:rPr>
      </w:pPr>
      <w:r>
        <w:rPr>
          <w:rFonts w:ascii="仿宋_GB2312" w:eastAsia="仿宋_GB2312"/>
          <w:sz w:val="32"/>
          <w:szCs w:val="32"/>
          <w:lang w:eastAsia="zh-CN"/>
        </w:rPr>
        <w:t>（二）政府采购情况</w:t>
      </w:r>
    </w:p>
    <w:p>
      <w:pPr>
        <w:spacing w:after="0" w:line="240" w:lineRule="auto"/>
        <w:rPr>
          <w:rFonts w:ascii="仿宋_GB2312" w:eastAsia="仿宋_GB2312"/>
          <w:sz w:val="32"/>
          <w:szCs w:val="32"/>
          <w:lang w:eastAsia="zh-CN"/>
        </w:rPr>
      </w:pPr>
      <w:r>
        <w:rPr>
          <w:rFonts w:ascii="仿宋_GB2312" w:eastAsia="仿宋_GB2312"/>
          <w:sz w:val="32"/>
          <w:szCs w:val="32"/>
          <w:lang w:eastAsia="zh-CN"/>
        </w:rPr>
        <w:t>（三）国有资产占用情况说明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十一、预算绩效的情况说明</w:t>
      </w:r>
    </w:p>
    <w:p>
      <w:pPr>
        <w:spacing w:after="0" w:line="240" w:lineRule="auto"/>
        <w:rPr>
          <w:rFonts w:ascii="仿宋_GB2312" w:eastAsia="仿宋_GB2312"/>
          <w:sz w:val="32"/>
          <w:szCs w:val="32"/>
          <w:lang w:eastAsia="zh-CN"/>
        </w:rPr>
      </w:pPr>
      <w:r>
        <w:rPr>
          <w:rFonts w:ascii="仿宋_GB2312" w:eastAsia="仿宋_GB2312"/>
          <w:sz w:val="32"/>
          <w:szCs w:val="32"/>
          <w:lang w:eastAsia="zh-CN"/>
        </w:rPr>
        <w:t>十二、其他需说明的事项</w:t>
      </w:r>
    </w:p>
    <w:p>
      <w:pPr>
        <w:spacing w:after="0" w:line="240" w:lineRule="auto"/>
        <w:rPr>
          <w:rFonts w:ascii="仿宋_GB2312" w:eastAsia="仿宋_GB2312"/>
          <w:sz w:val="32"/>
          <w:szCs w:val="32"/>
          <w:lang w:eastAsia="zh-CN"/>
        </w:rPr>
      </w:pPr>
      <w:r>
        <w:rPr>
          <w:rFonts w:ascii="仿宋_GB2312" w:eastAsia="仿宋_GB2312"/>
          <w:b/>
          <w:sz w:val="32"/>
          <w:szCs w:val="32"/>
          <w:lang w:eastAsia="zh-CN"/>
        </w:rPr>
        <w:t>第三部分 专业名词解释</w:t>
      </w:r>
    </w:p>
    <w:p>
      <w:pPr>
        <w:spacing w:after="0" w:line="240" w:lineRule="auto"/>
        <w:rPr>
          <w:rFonts w:ascii="仿宋_GB2312" w:eastAsia="仿宋_GB2312"/>
          <w:sz w:val="32"/>
          <w:szCs w:val="32"/>
          <w:lang w:eastAsia="zh-CN"/>
        </w:rPr>
      </w:pPr>
      <w:r>
        <w:rPr>
          <w:rFonts w:ascii="仿宋_GB2312" w:eastAsia="仿宋_GB2312"/>
          <w:b/>
          <w:sz w:val="32"/>
          <w:szCs w:val="32"/>
          <w:lang w:eastAsia="zh-CN"/>
        </w:rPr>
        <w:t>第四部分 部门决算报表（见附表）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一、《收入支出决算总表》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二、《收入决算表》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三、《支出决算表》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四、《财政拨款收入支出决算总表》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pPr>
        <w:spacing w:after="0" w:line="240" w:lineRule="auto"/>
        <w:rPr>
          <w:rFonts w:ascii="仿宋_GB2312" w:eastAsia="仿宋_GB2312"/>
          <w:sz w:val="32"/>
          <w:szCs w:val="32"/>
          <w:lang w:eastAsia="zh-CN"/>
        </w:rPr>
      </w:pPr>
      <w:r>
        <w:rPr>
          <w:rFonts w:ascii="仿宋_GB2312" w:eastAsia="仿宋_GB2312"/>
          <w:sz w:val="32"/>
          <w:szCs w:val="32"/>
          <w:lang w:eastAsia="zh-CN"/>
        </w:rPr>
        <w:t>九、《财政拨款“三公”经费支出决算表》</w:t>
      </w:r>
    </w:p>
    <w:p>
      <w:pPr>
        <w:rPr>
          <w:lang w:eastAsia="zh-CN"/>
        </w:rPr>
      </w:pPr>
      <w:r>
        <w:rPr>
          <w:sz w:val="0"/>
          <w:szCs w:val="0"/>
          <w:lang w:eastAsia="zh-CN"/>
        </w:rPr>
        <w:br w:type="page"/>
      </w:r>
    </w:p>
    <w:p>
      <w:pPr>
        <w:spacing w:after="0" w:line="240" w:lineRule="auto"/>
        <w:jc w:val="center"/>
        <w:outlineLvl w:val="0"/>
        <w:rPr>
          <w:rFonts w:ascii="黑体" w:eastAsia="黑体"/>
          <w:sz w:val="32"/>
          <w:szCs w:val="32"/>
          <w:lang w:eastAsia="zh-CN"/>
        </w:rPr>
      </w:pPr>
      <w:r>
        <w:rPr>
          <w:rFonts w:ascii="黑体" w:eastAsia="黑体"/>
          <w:sz w:val="32"/>
          <w:szCs w:val="32"/>
          <w:lang w:eastAsia="zh-CN"/>
        </w:rPr>
        <w:t>第一部分 单位概况</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 一、主要职能</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新疆维吾尔自治区公安厅机关服务中心是新疆维吾尔自治区公安厅二级预算单位。主要职责是： （一）负责厅机关物业维修工作。做好厅机关水、暖、电、燃气等设施的日常维修、协调工作；做好办公用房的基本维修工作；做好厅机关爱国卫生、节能减排工作；监督管理物业公司履行职责。 （二）负责厅机关改（扩）建项目的组织，抓好施工管理及安全生产监督。 （三）负责厅机关办公、业务用房的管理、调配，厅机关房地产管理、其他房产手续的办理。 （四）负责厅机关公务接待及培训人员的食宿保障。 （五）负责公安厅机关服务中心（事业单位）的日常管理工作。编制机关服务中心年度经费预、决算；承担机关服务中心经费的管理使用工作。</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二、机构设置及人员情况</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新疆维吾尔自治区公安厅机关服务中心2024年度，实有人数116人，其中：在职人员42人，减少1人；离休人员0人，较上年无变化；退休人员74人，增加1人。</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新疆维吾尔自治区公安厅机关服务中心无下属预算单位，下设4个科室，分别是：财务科、综合科、物业科、生活科。</w:t>
      </w:r>
    </w:p>
    <w:p>
      <w:pPr>
        <w:rPr>
          <w:lang w:eastAsia="zh-CN"/>
        </w:rPr>
      </w:pPr>
      <w:r>
        <w:rPr>
          <w:sz w:val="0"/>
          <w:szCs w:val="0"/>
          <w:lang w:eastAsia="zh-CN"/>
        </w:rPr>
        <w:br w:type="page"/>
      </w:r>
    </w:p>
    <w:p>
      <w:pPr>
        <w:spacing w:after="0" w:line="240" w:lineRule="auto"/>
        <w:jc w:val="center"/>
        <w:outlineLvl w:val="0"/>
        <w:rPr>
          <w:rFonts w:ascii="黑体" w:eastAsia="黑体"/>
          <w:sz w:val="32"/>
          <w:szCs w:val="32"/>
          <w:lang w:eastAsia="zh-CN"/>
        </w:rPr>
      </w:pPr>
      <w:r>
        <w:rPr>
          <w:rFonts w:ascii="黑体" w:eastAsia="黑体"/>
          <w:sz w:val="32"/>
          <w:szCs w:val="32"/>
          <w:lang w:eastAsia="zh-CN"/>
        </w:rPr>
        <w:t>第二部分 部门决算情况说明</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一、收入支出决算总体情况说明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2024年度收入总计4,403.11万元，其中：本年收入合计4,403.11万元，使用非财政拨款结余（含专用结余）0.00万元，年初结转和结余0.00万元。</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2024年度支出总计4,403.11万元，其中：本年支出合计3,991.82万元，结余分配411.29万元，年末结转和结余0.00万元。</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收入支出总体与上年相比，减少463.21万元，下降9.52%，主要原因是：经营收入减少。</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二、收入决算情况说明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收入4,403.11万元，其中：财政拨款收入2,209.29万元,占50.18%；上级补助收入0.00万元,占0.00%；事业收入0.00万元，占0.00%；经营收入2,191.53万元,占49.77%；附属单位上缴收入0.00万元，占0.00%；其他收入2.30万元，占0.05%。</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三、支出决算情况说明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本年支出3,991.82万元，其中：基本支出706.79万元，占17.71%；项目支出1,504.80万元，占37.70%；上缴上级支出0.00万元，占0.00%；经营支出1,780.23万元，占44.60%；对附属单位补助支出0.00万元，占0.00%。</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四、财政拨款收入支出决算总体情况说明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收入总计2,209.29万元，其中：年初财政拨款结转和结余0.00万元，本年财政拨款收入2,209.29万元。财政拨款支出总计2,209.29万元，其中：年末财政拨款结转和结余0.00万元，本年财政拨款支出2,209.29万元。</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财政拨款收入支出总体与上年相比，减少117.75万元，下降5.06%，主要原因是：公安行政管理1项目经费减少。与年初预算相比，年初预算数2,154.07万元，决算数2,209.29万元，预决算差异率2.56%，主要原因是：年中下达绩效奖。</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五、一般公共预算财政拨款支出决算情况说明</w:t>
      </w:r>
    </w:p>
    <w:p>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（一）一般公共预算财政拨款支出决算总体情况</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支出2,209.29万元，占本年支出合计的55.35%。与上年相比，减少48.53万元，下降2.15%，主要原因是：公安行政管理1项目经费减少。与年初预算相比，年初预算数2,154.07万元，决算数2,209.29万元，预决算差异率2.56%，主要原因是：年中下达绩效奖。</w:t>
      </w:r>
    </w:p>
    <w:p>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（二）一般公共预算财政拨款支出决算结构情况</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公共安全支出（类）1,988.88万元，占90.02</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社会保障和就业支出（类）118.22万元，占5.35%。</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卫生健康支出（类）55.91万元，占2.53%。</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住房保障支出（类）46.27万元，占2.09%。</w:t>
      </w:r>
    </w:p>
    <w:p>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（三）一般公共预算财政拨款支出决算具体情况</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1、公共安全支出（类）公安（款）机关服务（项）：支出决算数为1,988.88万元，比上年决算减少77.34万元，下降3.74%，主要原因是：公安行政管理1项目经费减少。</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2、社会保障和就业支出（类）行政事业单位养老支出（款）事业单位离退休（项）：支出决算数为49.10万元，比上年决算增加3.21万元，增长6.99%，主要原因是：</w:t>
      </w:r>
      <w:r>
        <w:rPr>
          <w:rFonts w:hint="eastAsia" w:ascii="仿宋_GB2312" w:eastAsia="仿宋_GB2312"/>
          <w:sz w:val="32"/>
          <w:szCs w:val="32"/>
          <w:lang w:eastAsia="zh-CN"/>
        </w:rPr>
        <w:t>退休人员</w:t>
      </w:r>
      <w:r>
        <w:rPr>
          <w:rFonts w:ascii="仿宋_GB2312" w:eastAsia="仿宋_GB2312"/>
          <w:sz w:val="32"/>
          <w:szCs w:val="32"/>
          <w:lang w:eastAsia="zh-CN"/>
        </w:rPr>
        <w:t>增加。</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3、社会保障和就业支出（类）行政事业单位养老支出（款）机关事业单位基本养老保险缴费支出（项）：支出决算数为61.70万元，比上年决算增加6.84万元，增长12.47%，主要原因是：事业编制人员缴费基数增加。</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4、社会保障和就业支出（类）行政事业单位养老支出（款）机关事业单位职业年金缴费支出（项）：支出决算数为7.42万元，比上年决算增加7.42万元，增长100.00%，主要原因是：1名事业编制人员退休。</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5、卫生健康支出（类）行政事业单位医疗（款）事业单位医疗（项）：支出决算数为28.92万元，比上年决算增加3.21万元，增长12.49%，主要原因是：事业编制人员缴费基数增加。</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6、卫生健康支出（类）行政事业单位医疗（款）公务员医疗补助（项）：支出决算数为26.99万元，比上年决算增加2.99万元，增长12.46%，主要原因是：事业编制人员缴费基数增加。</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7、住房保障支出（类）住房改革支出（款）住房公积金（项）：支出决算数为46.27万元，比上年决算增加5.13万元，增长12.47%，主要原因是：事业编制人员缴费基数增加。</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六、一般公共预算财政拨款基本支出决算情况说明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一般公共预算财政拨款基本支出706.79万元，其中：人员经费681.62万元，包括：基本工资、津贴补贴、奖金、绩效工资、机关事业单位基本养老保险缴费、职业年金缴费、职工基本医疗保险缴费、公务员医疗补助缴费、其他社会保障缴费、住房公积金、其他工资福利支出、退休费、奖励金和其他对个人和家庭的补助。</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公用经费25.18万元，包括：办公费、咨询费、手续费、邮电费、差旅费、维修（护）费、培训费、工会经费、福利费和其他商品和服务支出。</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七、政府性基金预算财政拨款收入支出决算情况说明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本单位本年度无政府性基金预算财政拨款收入、支出及结转和结余，政府性基金预算财政拨款收入支出决算表为空表。</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八、国有资本经营预算财政拨款收入支出决算情况说明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本单位本年度无国有资本经营预算财政拨款收入、支出及结转和结余，国有资本经营预算财政拨款收入支出决算表为空表。</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九、财政拨款“三公”经费支出决算情况说明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财政拨款“三公”经费支出0.00万元，与上年相比无变化，主要原因是：我单位无财政拨款“三公”经费支出。其中：因公出国（境）费支出0.00万元,占0.00%，与上年相比无变化，主要原因是：我单位无因公出国（境）费；公务用车购置及运行维护费支出0.00万元，占0.00%，与上年相比无变化，主要原因是：我单位无公务用车运行维护费；公务接待费支出0.00万元，占0.00%，与上年相比无变化，主要原因是：我单位无公务接待费。</w:t>
      </w:r>
    </w:p>
    <w:p>
      <w:pPr>
        <w:spacing w:after="0" w:line="240" w:lineRule="auto"/>
        <w:ind w:firstLine="640" w:firstLineChars="200"/>
        <w:rPr>
          <w:rFonts w:ascii="仿宋_GB2312" w:eastAsia="仿宋_GB2312"/>
          <w:sz w:val="32"/>
          <w:szCs w:val="32"/>
          <w:lang w:eastAsia="zh-CN"/>
        </w:rPr>
      </w:pPr>
      <w:r>
        <w:rPr>
          <w:rFonts w:ascii="仿宋_GB2312" w:eastAsia="仿宋_GB2312"/>
          <w:sz w:val="32"/>
          <w:szCs w:val="32"/>
          <w:lang w:eastAsia="zh-CN"/>
        </w:rPr>
        <w:t>具体情况如下：</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因公出国（境）费支出0.00万元，开支内容包括我单位无因公出国（境）费。单位全年安排的因公出国（境）团组0个，因公出国（境）0人次。</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用车购置及运行维护费0.00万元，其中：公务用车购置费0.00万元，公务用车运行维护费0.00万元。公务用车运行维护费开支内容包括我单位无公务用车运行维护费。公务用车购置数0辆，公务用车保有量0辆。国有资产占用情况中固定资产车辆1辆，与公务用车保有量差异原因是：一般业务用车，经费由经营收入保障。</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公务接待费0.00万元，开支内容包括我单位无公务接待费。单位全年安排的国内公务接待0批次，0人次。</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与全年预算相比，财政拨款“三公”经费支出全年预算数0.00万元，决算数0.00万元，预决算差异率0.00%，主要原因是：我单位无财政拨款“三公”经费支出。其中：因公出国（境）费全年预算数0.00万元，决算数0.00万元，预决算差异率0.00%，主要原因是：我单位无因公出国（境）费；公务用车购置费全年预算数0.00万元，决算数0.00万元，预决算差异率0.00%，主要原因是：我单位无公务用车购置费；公务用车运行维护费全年预算数0.00万元，决算数0.00万元，预决算差异率0.00%，主要原因是：我单位无公务用车运行维护费；公务接待费全年预算数0.00万元，决算数0.00万元，预决算差异率0.00%，主要原因是：我单位无公务接待费。</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十、其他重要事项的情况说明</w:t>
      </w:r>
    </w:p>
    <w:p>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（一）机关运行经费及公用经费支出情况</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2024年度新疆维吾尔自治区公安厅机关服务中心单位​（事业单位）公用经费支出25.18万元，比上年减少0.17万元，下降0.67%，主要原因是：压减公用经费。</w:t>
      </w:r>
    </w:p>
    <w:p>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（二）政府采购情况</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2024年度政府采购支出总额686.82万元，其中：政府采购货物支出445.96万元、政府采购工程支出6.72万元、政府采购服务支出234.14万元。</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授予中小企业合同金额30.32万元，占政府采购支出总额的4.41%，其中：授予小微企业合同金额30.32万元，占政府采购支出总额的4.41%。</w:t>
      </w:r>
    </w:p>
    <w:p>
      <w:pPr>
        <w:spacing w:after="0" w:line="240" w:lineRule="auto"/>
        <w:ind w:firstLine="643" w:firstLineChars="200"/>
        <w:outlineLvl w:val="2"/>
        <w:rPr>
          <w:rFonts w:ascii="黑体" w:eastAsia="黑体"/>
          <w:sz w:val="32"/>
          <w:szCs w:val="32"/>
          <w:lang w:eastAsia="zh-CN"/>
        </w:rPr>
      </w:pPr>
      <w:r>
        <w:rPr>
          <w:rFonts w:ascii="黑体" w:eastAsia="黑体"/>
          <w:b/>
          <w:sz w:val="32"/>
          <w:szCs w:val="32"/>
          <w:lang w:eastAsia="zh-CN"/>
        </w:rPr>
        <w:t>（三）国有资产占用情况说明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rPr>
        <w:t>截至2024年12月31日，房屋6,462.41平方米，价值2,210.40万元。</w:t>
      </w:r>
      <w:r>
        <w:rPr>
          <w:rFonts w:ascii="仿宋_GB2312" w:eastAsia="仿宋_GB2312"/>
          <w:sz w:val="32"/>
          <w:szCs w:val="32"/>
          <w:lang w:eastAsia="zh-CN"/>
        </w:rPr>
        <w:t>车辆1辆，价值22.67万元，其中：副部（省）级及以上领导用车0辆、主要负责人用车0辆、机要通信用车0辆、应急保障用车0辆、执法执勤用车0辆、特种专业技术用车0辆、离退休干部服务用车0辆、其他用车1辆，其他用车主要是：一般业务用车，主要保障服务中心警务技术交流点日常运转;单价100万元（含）以上设备（不含车辆）1台（套）。</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十一、预算绩效的情况说明</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根据预算绩效管理要求，本单位2024年度预算绩效评价项目​​​3个，全年预算数​​​3,317.50万元，全年执行数​​​3,282.73万元。预算绩效管理取得的成效：一是项目资金使用符合相关的财务管理制度规定，能够反映和考核项目资金的规范运行情况；二是项目实施单位的财务和业务管理制度健全，能够反映和考核财务和业务管理制度对项目顺利实施的保障情况​​​。发现的问题及原因：一是对预算绩效管理工作的重要性认识不到位，存在重支出轻绩效的问题；二是预算绩效目标编制不合理，不够细化​​​。下一步改进措施：一是继续加强组织领导，按照绩效管理工作要求，进一步加强预算管理绩效工作；二是强化项目绩效管理，增强项目产出和结果的经济性、效益性​​​。具体附项目支出绩效自评表。</w:t>
      </w:r>
    </w:p>
    <w:p>
      <w:pPr>
        <w:spacing w:after="0" w:line="240" w:lineRule="auto"/>
        <w:ind w:firstLine="640" w:firstLineChars="200"/>
        <w:outlineLvl w:val="1"/>
        <w:rPr>
          <w:rFonts w:ascii="黑体" w:eastAsia="黑体"/>
          <w:sz w:val="32"/>
          <w:szCs w:val="32"/>
          <w:lang w:eastAsia="zh-CN"/>
        </w:rPr>
      </w:pPr>
      <w:r>
        <w:rPr>
          <w:rFonts w:ascii="黑体" w:eastAsia="黑体"/>
          <w:sz w:val="32"/>
          <w:szCs w:val="32"/>
          <w:lang w:eastAsia="zh-CN"/>
        </w:rPr>
        <w:t>十二、其他需说明的事项</w:t>
      </w:r>
    </w:p>
    <w:p>
      <w:pPr>
        <w:spacing w:after="0" w:line="240" w:lineRule="auto"/>
        <w:ind w:firstLine="640" w:firstLineChars="200"/>
        <w:jc w:val="both"/>
        <w:rPr>
          <w:rFonts w:ascii="仿宋_GB2312" w:eastAsia="仿宋_GB2312"/>
          <w:sz w:val="32"/>
          <w:szCs w:val="32"/>
          <w:lang w:eastAsia="zh-CN"/>
        </w:rPr>
      </w:pPr>
      <w:r>
        <w:rPr>
          <w:rFonts w:ascii="仿宋_GB2312" w:eastAsia="仿宋_GB2312"/>
          <w:sz w:val="32"/>
          <w:szCs w:val="32"/>
          <w:lang w:eastAsia="zh-CN"/>
        </w:rPr>
        <w:t>本单位无其他需说明事项。</w:t>
      </w:r>
    </w:p>
    <w:p>
      <w:pPr>
        <w:spacing w:after="0" w:line="240" w:lineRule="auto"/>
        <w:ind w:firstLine="640" w:firstLineChars="200"/>
        <w:rPr>
          <w:rFonts w:ascii="仿宋_GB2312" w:eastAsia="仿宋_GB2312"/>
          <w:sz w:val="32"/>
          <w:szCs w:val="32"/>
          <w:lang w:eastAsia="zh-CN"/>
        </w:rPr>
      </w:pPr>
    </w:p>
    <w:p>
      <w:pPr>
        <w:rPr>
          <w:lang w:eastAsia="zh-CN"/>
        </w:rPr>
      </w:pPr>
      <w:r>
        <w:rPr>
          <w:sz w:val="0"/>
          <w:szCs w:val="0"/>
          <w:lang w:eastAsia="zh-CN"/>
        </w:rPr>
        <w:br w:type="page"/>
      </w:r>
    </w:p>
    <w:p>
      <w:pPr>
        <w:spacing w:after="0" w:line="240" w:lineRule="auto"/>
        <w:jc w:val="center"/>
        <w:outlineLvl w:val="0"/>
        <w:rPr>
          <w:rFonts w:ascii="黑体" w:eastAsia="黑体"/>
          <w:sz w:val="32"/>
          <w:szCs w:val="32"/>
          <w:lang w:eastAsia="zh-CN"/>
        </w:rPr>
      </w:pPr>
      <w:r>
        <w:rPr>
          <w:rFonts w:ascii="黑体" w:eastAsia="黑体"/>
          <w:sz w:val="32"/>
          <w:szCs w:val="32"/>
          <w:lang w:eastAsia="zh-CN"/>
        </w:rPr>
        <w:t>第三部分 专业名词解释</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一、财政拨款收入：</w:t>
      </w:r>
      <w:r>
        <w:rPr>
          <w:rFonts w:ascii="仿宋_GB2312" w:eastAsia="仿宋_GB2312"/>
          <w:sz w:val="32"/>
          <w:szCs w:val="32"/>
          <w:lang w:eastAsia="zh-CN"/>
        </w:rPr>
        <w:t>指同级财政当年拨付的资金。</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二、上级补助收入：</w:t>
      </w:r>
      <w:r>
        <w:rPr>
          <w:rFonts w:ascii="仿宋_GB2312" w:eastAsia="仿宋_GB2312"/>
          <w:sz w:val="32"/>
          <w:szCs w:val="32"/>
          <w:lang w:eastAsia="zh-CN"/>
        </w:rPr>
        <w:t>指事业单位从主管部门和上级单位取得的非财政补助收入。</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三、事业收入：</w:t>
      </w:r>
      <w:r>
        <w:rPr>
          <w:rFonts w:ascii="仿宋_GB2312" w:eastAsia="仿宋_GB2312"/>
          <w:sz w:val="32"/>
          <w:szCs w:val="32"/>
          <w:lang w:eastAsia="zh-CN"/>
        </w:rPr>
        <w:t>指事业单位开展专业业务活动及其辅助活动所取得的收入。</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四、经营收入：</w:t>
      </w:r>
      <w:r>
        <w:rPr>
          <w:rFonts w:ascii="仿宋_GB2312" w:eastAsia="仿宋_GB2312"/>
          <w:sz w:val="32"/>
          <w:szCs w:val="32"/>
          <w:lang w:eastAsia="zh-CN"/>
        </w:rPr>
        <w:t>指事业单位在专业业务活动及其辅助活动之外开展非独立核算经营活动取得的收入。</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五、附属单位上缴收入：</w:t>
      </w:r>
      <w:r>
        <w:rPr>
          <w:rFonts w:ascii="仿宋_GB2312" w:eastAsia="仿宋_GB2312"/>
          <w:sz w:val="32"/>
          <w:szCs w:val="32"/>
          <w:lang w:eastAsia="zh-CN"/>
        </w:rPr>
        <w:t>指事业单位附属的独立核算单位按有关规定上缴的收入。</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六、其他收入：</w:t>
      </w:r>
      <w:r>
        <w:rPr>
          <w:rFonts w:ascii="仿宋_GB2312" w:eastAsia="仿宋_GB2312"/>
          <w:sz w:val="32"/>
          <w:szCs w:val="32"/>
          <w:lang w:eastAsia="zh-CN"/>
        </w:rPr>
        <w:t>指除上述“财政拨款收入”、“事业收入”、“经营收入”、“附属单位上缴收入”等之外取得的收入。</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七、年初结转和结余：</w:t>
      </w:r>
      <w:r>
        <w:rPr>
          <w:rFonts w:ascii="仿宋_GB2312" w:eastAsia="仿宋_GB2312"/>
          <w:sz w:val="32"/>
          <w:szCs w:val="32"/>
          <w:lang w:eastAsia="zh-CN"/>
        </w:rPr>
        <w:t>指以前年度支出预算因客观条件变化未执行完毕、结转到本年度按有关规定继续使用的资金，既包括财政拨款结转和结余，也包括事业收入、经营收入、其他收入的结转和结余。</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八、年末结转和结余：</w:t>
      </w:r>
      <w:r>
        <w:rPr>
          <w:rFonts w:ascii="仿宋_GB2312" w:eastAsia="仿宋_GB2312"/>
          <w:sz w:val="32"/>
          <w:szCs w:val="32"/>
          <w:lang w:eastAsia="zh-CN"/>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九、基本支出：</w:t>
      </w:r>
      <w:r>
        <w:rPr>
          <w:rFonts w:ascii="仿宋_GB2312" w:eastAsia="仿宋_GB2312"/>
          <w:sz w:val="32"/>
          <w:szCs w:val="32"/>
          <w:lang w:eastAsia="zh-CN"/>
        </w:rPr>
        <w:t>指为保障机构正常运转、完成日常工作任务而发生的人员支出和公用支出。</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十、项目支出：</w:t>
      </w:r>
      <w:r>
        <w:rPr>
          <w:rFonts w:ascii="仿宋_GB2312" w:eastAsia="仿宋_GB2312"/>
          <w:sz w:val="32"/>
          <w:szCs w:val="32"/>
          <w:lang w:eastAsia="zh-CN"/>
        </w:rPr>
        <w:t>指在基本支出之外为完成特定行政任务和事业发展目标所发生的支出。</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十一、经营支出：</w:t>
      </w:r>
      <w:r>
        <w:rPr>
          <w:rFonts w:ascii="仿宋_GB2312" w:eastAsia="仿宋_GB2312"/>
          <w:sz w:val="32"/>
          <w:szCs w:val="32"/>
          <w:lang w:eastAsia="zh-CN"/>
        </w:rPr>
        <w:t>指事业单位在专业业务活动及其辅助活动之外开展非独立核算经营活动发生的支出。</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十二、对附属单位补助支出：</w:t>
      </w:r>
      <w:r>
        <w:rPr>
          <w:rFonts w:ascii="仿宋_GB2312" w:eastAsia="仿宋_GB2312"/>
          <w:sz w:val="32"/>
          <w:szCs w:val="32"/>
          <w:lang w:eastAsia="zh-CN"/>
        </w:rPr>
        <w:t>指事业单位发生的用非财政预算资金对附属单位的补助支出。</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十三、“三公”经费：</w:t>
      </w:r>
      <w:r>
        <w:rPr>
          <w:rFonts w:ascii="仿宋_GB2312" w:eastAsia="仿宋_GB2312"/>
          <w:sz w:val="32"/>
          <w:szCs w:val="32"/>
          <w:lang w:eastAsia="zh-CN"/>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after="0" w:line="240" w:lineRule="auto"/>
        <w:ind w:firstLine="643" w:firstLineChars="200"/>
        <w:rPr>
          <w:rFonts w:ascii="仿宋_GB2312" w:eastAsia="仿宋_GB2312"/>
          <w:sz w:val="32"/>
          <w:szCs w:val="32"/>
          <w:lang w:eastAsia="zh-CN"/>
        </w:rPr>
      </w:pPr>
      <w:r>
        <w:rPr>
          <w:rFonts w:ascii="仿宋_GB2312" w:eastAsia="仿宋_GB2312"/>
          <w:b/>
          <w:sz w:val="32"/>
          <w:szCs w:val="32"/>
          <w:lang w:eastAsia="zh-CN"/>
        </w:rPr>
        <w:t>十四、机关运行经费：</w:t>
      </w:r>
      <w:r>
        <w:rPr>
          <w:rFonts w:ascii="仿宋_GB2312" w:eastAsia="仿宋_GB2312"/>
          <w:sz w:val="32"/>
          <w:szCs w:val="32"/>
          <w:lang w:eastAsia="zh-CN"/>
        </w:rPr>
        <w:t>行政单位和参照公务员法管理的事业单位财政拨款基本支出中的公用经费支出。</w:t>
      </w:r>
    </w:p>
    <w:p>
      <w:pPr>
        <w:rPr>
          <w:lang w:eastAsia="zh-CN"/>
        </w:rPr>
      </w:pPr>
      <w:r>
        <w:rPr>
          <w:sz w:val="0"/>
          <w:szCs w:val="0"/>
          <w:lang w:eastAsia="zh-CN"/>
        </w:rPr>
        <w:br w:type="page"/>
      </w:r>
    </w:p>
    <w:p>
      <w:pPr>
        <w:spacing w:after="0" w:line="240" w:lineRule="auto"/>
        <w:jc w:val="center"/>
        <w:outlineLvl w:val="0"/>
        <w:rPr>
          <w:rFonts w:ascii="黑体" w:eastAsia="黑体"/>
          <w:sz w:val="32"/>
          <w:szCs w:val="32"/>
          <w:lang w:eastAsia="zh-CN"/>
        </w:rPr>
      </w:pPr>
      <w:r>
        <w:rPr>
          <w:rFonts w:ascii="黑体" w:eastAsia="黑体"/>
          <w:sz w:val="32"/>
          <w:szCs w:val="32"/>
          <w:lang w:eastAsia="zh-CN"/>
        </w:rPr>
        <w:t>第四部分 部门决算报表（见附表）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一、《收入支出决算总表》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二、《收入决算表》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三、《支出决算表》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四、《财政拨款收入支出决算总表》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五、《一般公共预算财政拨款支出决算表》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六、《一般公共预算财政拨款基本支出决算表》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七、《政府性基金预算财政拨款收入支出决算表》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八、《国有资本经营预算财政拨款收入支出决算表》</w:t>
      </w:r>
    </w:p>
    <w:p>
      <w:pPr>
        <w:spacing w:after="0" w:line="240" w:lineRule="auto"/>
        <w:ind w:firstLine="640" w:firstLineChars="200"/>
        <w:outlineLvl w:val="1"/>
        <w:rPr>
          <w:rFonts w:ascii="仿宋_GB2312" w:eastAsia="仿宋_GB2312"/>
          <w:sz w:val="32"/>
          <w:szCs w:val="32"/>
          <w:lang w:eastAsia="zh-CN"/>
        </w:rPr>
      </w:pPr>
      <w:r>
        <w:rPr>
          <w:rFonts w:ascii="仿宋_GB2312" w:eastAsia="仿宋_GB2312"/>
          <w:sz w:val="32"/>
          <w:szCs w:val="32"/>
          <w:lang w:eastAsia="zh-CN"/>
        </w:rPr>
        <w:t>九、《财政拨款“三公”经费支出决算表》</w:t>
      </w:r>
    </w:p>
    <w:sectPr>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EE"/>
    <w:rsid w:val="001B7AEE"/>
    <w:rsid w:val="00DD58F2"/>
    <w:rsid w:val="00FC3269"/>
    <w:rsid w:val="1EEA701B"/>
    <w:rsid w:val="2AAD0D12"/>
    <w:rsid w:val="51CE7D15"/>
    <w:rsid w:val="66313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Normal Indent"/>
    <w:basedOn w:val="1"/>
    <w:unhideWhenUsed/>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unhideWhenUsed/>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uiPriority w:val="99"/>
    <w:rPr>
      <w:color w:val="0000FF" w:themeColor="hyperlink"/>
      <w:u w:val="single"/>
      <w14:textFill>
        <w14:solidFill>
          <w14:schemeClr w14:val="hlink"/>
        </w14:solidFill>
      </w14:textFill>
    </w:rPr>
  </w:style>
  <w:style w:type="character" w:customStyle="1" w:styleId="16">
    <w:name w:val="页眉 Char"/>
    <w:basedOn w:val="13"/>
    <w:link w:val="8"/>
    <w:uiPriority w:val="99"/>
  </w:style>
  <w:style w:type="character" w:customStyle="1" w:styleId="17">
    <w:name w:val="标题 1 Char"/>
    <w:basedOn w:val="13"/>
    <w:link w:val="2"/>
    <w:uiPriority w:val="9"/>
    <w:rPr>
      <w:rFonts w:asciiTheme="majorHAnsi" w:hAnsiTheme="majorHAnsi" w:eastAsiaTheme="majorEastAsia" w:cstheme="majorBidi"/>
      <w:b/>
      <w:bCs/>
      <w:color w:val="376092" w:themeColor="accent1" w:themeShade="BF"/>
      <w:sz w:val="28"/>
      <w:szCs w:val="28"/>
    </w:rPr>
  </w:style>
  <w:style w:type="character" w:customStyle="1" w:styleId="18">
    <w:name w:val="标题 2 Char"/>
    <w:basedOn w:val="13"/>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标题 3 Char"/>
    <w:basedOn w:val="13"/>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标题 4 Char"/>
    <w:basedOn w:val="13"/>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副标题 Char"/>
    <w:basedOn w:val="13"/>
    <w:link w:val="9"/>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标题 Char"/>
    <w:basedOn w:val="13"/>
    <w:link w:val="10"/>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5176</Words>
  <Characters>5801</Characters>
  <Lines>42</Lines>
  <Paragraphs>11</Paragraphs>
  <TotalTime>2</TotalTime>
  <ScaleCrop>false</ScaleCrop>
  <LinksUpToDate>false</LinksUpToDate>
  <CharactersWithSpaces>5816</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2025-09-25T10:07:00Z</dcterms:created>
  <dc:creator>Administrator</dc:creator>
  <cp:lastModifiedBy>刘盼盼</cp:lastModifiedBy>
  <dcterms:modified xsi:type="dcterms:W3CDTF">2025-11-18T09:03:15Z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5B619DD7849641FF9F02D0615F7318E3</vt:lpwstr>
  </property>
</Properties>
</file>