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小标宋简体"/>
          <w:color w:val="00000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全区道路交通违法行为</w:t>
      </w:r>
      <w:r>
        <w:rPr>
          <w:rFonts w:hint="eastAsia" w:ascii="Times New Roman" w:hAnsi="Times New Roman" w:eastAsia="方正小标宋简体"/>
          <w:color w:val="000000"/>
          <w:sz w:val="44"/>
          <w:szCs w:val="44"/>
          <w:lang w:val="en-US" w:eastAsia="zh-CN"/>
        </w:rPr>
        <w:t>裁量基准编制说明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一、基本原则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left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楷体_GBK"/>
          <w:b/>
          <w:bCs/>
          <w:sz w:val="32"/>
          <w:szCs w:val="32"/>
          <w:lang w:val="en-US" w:eastAsia="zh-CN"/>
        </w:rPr>
        <w:t>（一）</w:t>
      </w:r>
      <w:r>
        <w:rPr>
          <w:rFonts w:hint="eastAsia" w:ascii="Times New Roman" w:hAnsi="Times New Roman" w:eastAsia="方正楷体_GBK" w:cs="方正楷体_GBK"/>
          <w:b/>
          <w:bCs/>
          <w:sz w:val="32"/>
          <w:szCs w:val="32"/>
          <w:lang w:val="en-US" w:eastAsia="zh-CN"/>
        </w:rPr>
        <w:t>车型细分原则</w:t>
      </w:r>
      <w:r>
        <w:rPr>
          <w:rFonts w:hint="eastAsia" w:ascii="Times New Roman" w:hAnsi="Times New Roman" w:eastAsia="方正楷体_GBK" w:cs="方正楷体_GBK"/>
          <w:b/>
          <w:bCs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本次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裁量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基准的制定继续沿用了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《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新疆维吾尔自治区实施</w:t>
      </w:r>
      <w:r>
        <w:rPr>
          <w:rFonts w:hint="eastAsia" w:ascii="Times New Roman" w:hAnsi="Times New Roman" w:eastAsia="仿宋_GB2312"/>
          <w:sz w:val="32"/>
          <w:szCs w:val="32"/>
        </w:rPr>
        <w:t>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中华人民共和国</w:t>
      </w:r>
      <w:r>
        <w:rPr>
          <w:rFonts w:hint="eastAsia" w:ascii="Times New Roman" w:hAnsi="Times New Roman" w:eastAsia="仿宋_GB2312"/>
          <w:sz w:val="32"/>
          <w:szCs w:val="32"/>
        </w:rPr>
        <w:t>道路交通安全法</w:t>
      </w:r>
      <w:r>
        <w:rPr>
          <w:rFonts w:hint="eastAsia" w:ascii="Times New Roman" w:hAnsi="Times New Roman" w:eastAsia="仿宋_GB2312"/>
          <w:sz w:val="32"/>
          <w:szCs w:val="32"/>
        </w:rPr>
        <w:t>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办法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》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，将道路交通违法行为根据车型分为四个档次，制定不同的裁量基准。其中第一档为摩托车、拖拉机；第二档为小、微型机动车；第三档为中型以上载货汽车；第四档为中型以上载客汽车、危化品运输车、校车。根据不同车型制定不同的裁量基准。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left"/>
        <w:textAlignment w:val="auto"/>
        <w:rPr>
          <w:rFonts w:hint="eastAsia" w:ascii="Times New Roman" w:hAnsi="Times New Roman" w:eastAsia="方正楷体_GBK" w:cs="方正楷体_GBK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楷体_GBK"/>
          <w:b/>
          <w:bCs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Times New Roman" w:hAnsi="Times New Roman" w:eastAsia="方正楷体_GBK" w:cs="方正楷体_GBK"/>
          <w:b/>
          <w:bCs/>
          <w:color w:val="auto"/>
          <w:sz w:val="32"/>
          <w:szCs w:val="32"/>
          <w:lang w:val="en-US" w:eastAsia="zh-CN"/>
        </w:rPr>
        <w:t>交通事故顶格处罚原则。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明确了违法行为引发交通事故的，将顶格处罚。同时明确了违法行为并处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可以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吊销（或不吊销）、可以拘留（或不拘留），以是否发生交通事故且负有责任为基准，发生交通事故负有责任的吊销或拘留，没有发生交通事故的不吊销或不拘留。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left"/>
        <w:textAlignment w:val="auto"/>
        <w:rPr>
          <w:rFonts w:hint="eastAsia" w:ascii="Times New Roman" w:hAnsi="Times New Roman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楷体_GBK"/>
          <w:b/>
          <w:bCs/>
          <w:sz w:val="32"/>
          <w:szCs w:val="32"/>
          <w:lang w:val="en-US" w:eastAsia="zh-CN"/>
        </w:rPr>
        <w:t>（三）</w:t>
      </w:r>
      <w:r>
        <w:rPr>
          <w:rFonts w:hint="eastAsia" w:ascii="Times New Roman" w:hAnsi="Times New Roman" w:eastAsia="方正楷体_GBK" w:cs="方正楷体_GBK"/>
          <w:b/>
          <w:bCs/>
          <w:sz w:val="32"/>
          <w:szCs w:val="32"/>
          <w:lang w:val="en-US" w:eastAsia="zh-CN"/>
        </w:rPr>
        <w:t>主观恶意、故意违法行为的处罚原则。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不服从交警管理、伪造、变造、记分9分及以上等主观恶性强、后果严重的违法不再分车型处罚，统一按照顶格罚金下浮20元或200元。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楷体_GBK"/>
          <w:b/>
          <w:bCs/>
          <w:sz w:val="32"/>
          <w:szCs w:val="32"/>
          <w:lang w:val="en-US" w:eastAsia="zh-CN"/>
        </w:rPr>
        <w:t>（四）</w:t>
      </w:r>
      <w:r>
        <w:rPr>
          <w:rFonts w:hint="eastAsia" w:ascii="Times New Roman" w:hAnsi="Times New Roman" w:eastAsia="方正楷体_GBK" w:cs="方正楷体_GBK"/>
          <w:b/>
          <w:bCs/>
          <w:sz w:val="32"/>
          <w:szCs w:val="32"/>
          <w:lang w:val="en-US" w:eastAsia="zh-CN"/>
        </w:rPr>
        <w:t>20元至200元违法行为罚金制定原则。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根据总队《关于转发</w:t>
      </w:r>
      <w:r>
        <w:rPr>
          <w:rFonts w:hint="eastAsia" w:ascii="Times New Roman" w:hAnsi="Times New Roman" w:eastAsia="仿宋_GB2312"/>
          <w:sz w:val="32"/>
          <w:szCs w:val="32"/>
        </w:rPr>
        <w:t>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关于进一步坚持过罚相当规范交通违法罚款处罚工作的通知</w:t>
      </w:r>
      <w:r>
        <w:rPr>
          <w:rFonts w:hint="eastAsia" w:ascii="Times New Roman" w:hAnsi="Times New Roman" w:eastAsia="仿宋_GB2312"/>
          <w:sz w:val="32"/>
          <w:szCs w:val="32"/>
        </w:rPr>
        <w:t>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工作提示的通知》要求，民警可对罚款金额默认值为50元以下的违法代码，选择“警告教育记录”或“行政处罚决定”。为避免第一档摩托车违法被大量“警告教育”，起不到应有的惩戒作用。设定罚金第一档为60元、第二档为90元、第三档为120元、第四档为150元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二、裁量基准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处以20元以上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200元以下罚金的机动车违法代码按照4个档次制定罚金裁量基准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其中，摩托车、拖拉机处罚60元，小、微型机动车90元，中型以上载货汽车120元，中型以上载客汽车、危化品运输车辆、校车150元。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（二）处以200元以上，2000元以下罚金的机动车违法代码按照4个档次制定罚金裁量基准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其中，摩托车、拖拉机处罚200元，小、微型机动车500元，中型以上载货汽车1000元，中型以上载客汽车、危化品运输车辆、校车1500元。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（三）处以1000元以上，2000元以下罚金的机动车违法代码按照4个档次制定罚金裁量基准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其中，摩托车、拖拉机处罚1200元，小、微型机动车1400元，中型以上载货汽车1600元，中型以上载客汽车、危化品运输车辆、校车1800元。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（四）处以2000元以上，5000元以下罚金的机动车违法代码按照4个档次制定罚金裁量基准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其中，摩托车、拖拉机处罚2000元，小、微型机动车2500元，中型以上载货汽车3500元，中型以上载客汽车、危化品运输车辆、校车4500元。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（五）处拘留行政处罚的，按照4个档次制定拘留天数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其中，摩托车处3日，小、微型机动车处5日，中型以上载货汽车处7日，中型以上载客汽车、危化品运输车辆、校车10日。除摩托车外其他车辆发生事故的处15日（不包含二次饮酒）。</w:t>
      </w:r>
    </w:p>
    <w:p>
      <w:pPr>
        <w:rPr>
          <w:rFonts w:hint="default" w:ascii="Times New Roman" w:hAnsi="Times New Roman" w:eastAsia="方正小标宋简体"/>
          <w:color w:val="000000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0.20.71.121:80/defaultroot/DominateServer"/>
  </w:docVars>
  <w:rsids>
    <w:rsidRoot w:val="4AE32325"/>
    <w:rsid w:val="3A9856ED"/>
    <w:rsid w:val="4AE32325"/>
    <w:rsid w:val="5C76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1060</Words>
  <Characters>1135</Characters>
  <Lines>0</Lines>
  <Paragraphs>0</Paragraphs>
  <TotalTime>4</TotalTime>
  <ScaleCrop>false</ScaleCrop>
  <LinksUpToDate>false</LinksUpToDate>
  <CharactersWithSpaces>1135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2024-07-30T03:13:00Z</dcterms:created>
  <dc:creator>张端海</dc:creator>
  <cp:lastModifiedBy>张端海</cp:lastModifiedBy>
  <dcterms:modified xsi:type="dcterms:W3CDTF">2024-08-07T11:16:01Z</dcterms:modified>
  <dc:title>全区道路交通违法行为裁量基准编制说明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19788CA7642F4C7DA9B9497A59AF070D</vt:lpwstr>
  </property>
</Properties>
</file>